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commentsExtensible.xml" ContentType="application/vnd.openxmlformats-officedocument.wordprocessingml.commentsExtensi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284" w:firstLine="0"/>
        <w:jc w:val="center"/>
      </w:pPr>
      <w:r>
        <w:t xml:space="preserve">Перечень критериев оценки заявок участников</w:t>
      </w:r>
      <w:r/>
    </w:p>
    <w:tbl>
      <w:tblPr>
        <w:tblW w:w="1531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4"/>
        <w:gridCol w:w="991"/>
        <w:gridCol w:w="1416"/>
        <w:gridCol w:w="1423"/>
        <w:gridCol w:w="998"/>
        <w:gridCol w:w="279"/>
        <w:gridCol w:w="992"/>
        <w:gridCol w:w="1701"/>
        <w:gridCol w:w="6518"/>
      </w:tblGrid>
      <w:tr>
        <w:tblPrEx/>
        <w:trPr/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Номер критерия оценки в структуре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Направление оценки заявок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Вид критерия оценки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3"/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Наименование критерия оценки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Значимость критерия оценки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Содержание частного критерия оценки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Расчет оценки предпочтительности заявки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Merge w:val="continue"/>
            <w:textDirection w:val="lrTb"/>
            <w:noWrap w:val="false"/>
          </w:tcPr>
          <w:p>
            <w:pPr>
              <w:ind w:left="-108" w:right="-108"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критерий оценки первого уровня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2"/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критерий оценки второго уровня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d5dce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7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keepNext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Цена</w:t>
            </w: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Ценовой (стоимостной) частный критерий оценки </w:t>
            </w:r>
            <w:r>
              <w:rPr>
                <w:sz w:val="18"/>
                <w:szCs w:val="18"/>
                <w:lang w:eastAsia="en-US"/>
              </w:rPr>
              <w:t xml:space="preserve">первого уровня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i/>
                <w:sz w:val="18"/>
                <w:szCs w:val="18"/>
                <w:shd w:val="clear" w:color="auto" w:fill="ffff9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Цена договора</w:t>
            </w:r>
            <w:r>
              <w:rPr>
                <w:i/>
                <w:sz w:val="18"/>
                <w:szCs w:val="18"/>
                <w:shd w:val="clear" w:color="auto" w:fill="ffff99"/>
                <w:lang w:eastAsia="en-US"/>
              </w:rPr>
            </w:r>
            <w:r>
              <w:rPr>
                <w:i/>
                <w:sz w:val="18"/>
                <w:szCs w:val="18"/>
                <w:shd w:val="clear" w:color="auto" w:fill="ffff99"/>
                <w:lang w:eastAsia="en-US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ind w:left="-112" w:firstLine="0"/>
              <w:jc w:val="center"/>
              <w:spacing w:before="40" w:after="4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Отсутствует</w:t>
            </w: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110" w:firstLine="0"/>
              <w:jc w:val="center"/>
              <w:spacing w:before="40" w:after="4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70%</w:t>
            </w: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</w:p>
          <w:p>
            <w:pPr>
              <w:ind w:left="-110"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(B</w:t>
            </w:r>
            <w:r>
              <w:rPr>
                <w:sz w:val="18"/>
                <w:szCs w:val="18"/>
                <w:vertAlign w:val="subscript"/>
                <w:lang w:eastAsia="en-US"/>
              </w:rPr>
              <w:t xml:space="preserve">1</w:t>
            </w:r>
            <w:r>
              <w:rPr>
                <w:sz w:val="18"/>
                <w:szCs w:val="18"/>
                <w:lang w:eastAsia="en-US"/>
              </w:rPr>
              <w:t xml:space="preserve"> = 0,70)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-112" w:firstLine="0"/>
              <w:jc w:val="center"/>
              <w:spacing w:before="40" w:after="40"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Чем меньше цена договора</w:t>
            </w:r>
            <w:r>
              <w:rPr>
                <w:sz w:val="18"/>
                <w:szCs w:val="18"/>
              </w:rPr>
              <w:t xml:space="preserve"> (заявки)</w:t>
            </w:r>
            <w:r>
              <w:rPr>
                <w:sz w:val="18"/>
                <w:szCs w:val="18"/>
              </w:rPr>
              <w:t xml:space="preserve">, тем выше предпочтительность</w:t>
            </w:r>
            <w:r>
              <w:rPr>
                <w:sz w:val="18"/>
                <w:szCs w:val="18"/>
                <w:highlight w:val="yellow"/>
              </w:rPr>
            </w:r>
            <w:r>
              <w:rPr>
                <w:sz w:val="18"/>
                <w:szCs w:val="18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7" w:type="dxa"/>
            <w:textDirection w:val="lrTb"/>
            <w:noWrap w:val="false"/>
          </w:tcPr>
          <w:p>
            <w:pPr>
              <w:ind w:firstLine="0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Расчет оценки предпочтительности по частному критерию по методу «Математическая формула, задающая «функцию ценности»»: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jc w:val="center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/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rPr/>
                  <m:t>Б</m:t>
                </m:r>
                <m:r>
                  <w:rPr>
                    <w:rFonts w:ascii="Cambria Math" w:hAnsi="Cambria Math"/>
                  </w:rPr>
                  <m:rPr/>
                  <m:t>₁</m:t>
                </m:r>
                <m:r>
                  <w:rPr>
                    <w:rFonts w:ascii="Cambria Math" w:hAnsi="Cambria Math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rPr/>
                          <m:t>ЦЕНА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rPr/>
                          <m:t>MIN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rPr/>
                      <m:t>ЦЕНА</m:t>
                    </m:r>
                    <m:r>
                      <w:rPr>
                        <w:rFonts w:ascii="Cambria Math" w:hAnsi="Cambria Math"/>
                      </w:rPr>
                      <m:rPr/>
                      <m:t>i</m:t>
                    </m:r>
                  </m:den>
                </m:f>
                <m:r>
                  <w:rPr>
                    <w:rFonts w:ascii="Cambria Math" w:hAnsi="Cambria Math"/>
                  </w:rPr>
                  <m:rPr/>
                  <m:t>×Ш,</m:t>
                </m:r>
              </m:oMath>
            </m:oMathPara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гд</w:t>
            </w:r>
            <w:r>
              <w:rPr>
                <w:rFonts w:eastAsia="Calibri"/>
                <w:sz w:val="18"/>
                <w:szCs w:val="18"/>
              </w:rPr>
              <w:t xml:space="preserve">е: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Б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1</w:t>
            </w:r>
            <w:r>
              <w:rPr>
                <w:rFonts w:eastAsia="Calibri"/>
                <w:sz w:val="18"/>
                <w:szCs w:val="18"/>
              </w:rPr>
              <w:t xml:space="preserve"> – рассчитанная оценка предпочтительности по частному критерию оценки в баллах;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ЦЕНА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i</w:t>
            </w:r>
            <w:r>
              <w:rPr>
                <w:rFonts w:eastAsia="Calibri"/>
                <w:sz w:val="18"/>
                <w:szCs w:val="18"/>
              </w:rPr>
              <w:t xml:space="preserve"> – цена коммерческого предложения (без НДС), указанная в заявке допущенного участника;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ЦЕНА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min</w:t>
            </w:r>
            <w:r>
              <w:rPr>
                <w:rFonts w:eastAsia="Calibri"/>
                <w:sz w:val="18"/>
                <w:szCs w:val="18"/>
              </w:rPr>
              <w:t xml:space="preserve"> – минимальная цена коммерческого предложения (без НДС) среди всех допущ</w:t>
            </w:r>
            <w:r>
              <w:rPr>
                <w:rFonts w:eastAsia="Calibri"/>
                <w:sz w:val="18"/>
                <w:szCs w:val="18"/>
              </w:rPr>
              <w:t xml:space="preserve">енных заявок участников;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Ш – максимально возможный балл (максимальная возможная оценка предпочтительности) по установленной в документации о закупке шкале оценок (Ш = 5).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Оценка предпочтительности заявок осуществляется в едином базисе сопоставления ценовых</w:t>
            </w:r>
            <w:r>
              <w:rPr>
                <w:rFonts w:eastAsia="Calibri"/>
                <w:sz w:val="18"/>
                <w:szCs w:val="18"/>
              </w:rPr>
              <w:t xml:space="preserve"> (стоимостных) предложений, установленном в документации о закупке: без учета НДС.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 случае, если участник действует по упрощенной системе налогообложения, к таким участникам так же применяется базис сопоставления ценовых (стоимостных) предложений - без уч</w:t>
            </w:r>
            <w:r>
              <w:rPr>
                <w:rFonts w:eastAsia="Calibri"/>
                <w:sz w:val="18"/>
                <w:szCs w:val="18"/>
              </w:rPr>
              <w:t xml:space="preserve">ета НДС.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before="96" w:after="96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Шкала оценок от 0 до 5 баллов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24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Неценовой критерий оценки первого уровня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 CYR" w:hAnsi="Times New Roman CYR" w:cs="Times New Roman CYR" w:eastAsiaTheme="minorHAnsi"/>
                <w:color w:val="000000"/>
                <w:sz w:val="18"/>
                <w:szCs w:val="18"/>
                <w:lang w:eastAsia="en-US"/>
              </w:rPr>
              <w:t xml:space="preserve">Квалификация (отношение Участника закупки к изготовителю предлагаемой продукции)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ind w:left="-112"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Отсутствует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110"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20%</w:t>
            </w:r>
            <w:r>
              <w:rPr>
                <w:rFonts w:eastAsia="Calibri"/>
                <w:sz w:val="18"/>
                <w:szCs w:val="18"/>
              </w:rPr>
              <w:br/>
              <w:t xml:space="preserve">(В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2</w:t>
            </w:r>
            <w:r>
              <w:rPr>
                <w:rFonts w:eastAsia="Calibri"/>
                <w:sz w:val="18"/>
                <w:szCs w:val="18"/>
              </w:rPr>
              <w:t xml:space="preserve"> = 0,2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0</w:t>
            </w:r>
            <w:r>
              <w:rPr>
                <w:rFonts w:eastAsia="Calibri"/>
                <w:sz w:val="18"/>
                <w:szCs w:val="18"/>
              </w:rPr>
              <w:t xml:space="preserve">)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-112" w:firstLine="0"/>
              <w:jc w:val="center"/>
              <w:spacing w:before="40" w:after="4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Отношение Участника закупки к изготовителю предлагаемой </w:t>
            </w:r>
            <w:r>
              <w:rPr>
                <w:sz w:val="18"/>
                <w:szCs w:val="18"/>
                <w:lang w:eastAsia="en-US"/>
              </w:rPr>
              <w:t xml:space="preserve">продукции</w:t>
            </w: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7" w:type="dxa"/>
            <w:textDirection w:val="lrTb"/>
            <w:noWrap w:val="false"/>
          </w:tcPr>
          <w:p>
            <w:pPr>
              <w:ind w:firstLine="201"/>
              <w:jc w:val="left"/>
              <w:spacing w:before="96" w:after="96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ind w:firstLine="201"/>
              <w:jc w:val="left"/>
              <w:spacing w:before="40" w:after="40"/>
              <w:rPr>
                <w:rFonts w:eastAsia="Geneva"/>
                <w:sz w:val="18"/>
                <w:szCs w:val="18"/>
                <w:lang w:eastAsia="en-US"/>
              </w:rPr>
            </w:pPr>
            <w:r>
              <w:rPr>
                <w:rFonts w:eastAsia="Geneva"/>
                <w:sz w:val="18"/>
                <w:szCs w:val="18"/>
                <w:lang w:eastAsia="en-US"/>
              </w:rPr>
              <w:t xml:space="preserve">Порядок осуществления оценки (значение оцениваемого параметра), в зависимости от предоставленных в i-ой </w:t>
            </w:r>
            <w:r>
              <w:rPr>
                <w:rFonts w:eastAsia="Geneva"/>
                <w:sz w:val="18"/>
                <w:szCs w:val="18"/>
                <w:lang w:eastAsia="en-US"/>
              </w:rPr>
              <w:t xml:space="preserve">заявке копий документов, подтверждающих статус </w:t>
            </w:r>
            <w:r>
              <w:rPr>
                <w:rFonts w:eastAsia="Geneva"/>
                <w:sz w:val="18"/>
                <w:szCs w:val="18"/>
                <w:lang w:eastAsia="en-US"/>
              </w:rPr>
              <w:t xml:space="preserve">Участника*</w:t>
            </w:r>
            <w:r>
              <w:rPr>
                <w:rFonts w:eastAsia="Geneva"/>
                <w:sz w:val="18"/>
                <w:szCs w:val="18"/>
                <w:lang w:eastAsia="en-US"/>
              </w:rPr>
              <w:t xml:space="preserve">:</w:t>
            </w:r>
            <w:r>
              <w:rPr>
                <w:rFonts w:eastAsia="Geneva"/>
                <w:sz w:val="18"/>
                <w:szCs w:val="18"/>
                <w:lang w:eastAsia="en-US"/>
              </w:rPr>
            </w:r>
            <w:r>
              <w:rPr>
                <w:rFonts w:eastAsia="Geneva"/>
                <w:sz w:val="18"/>
                <w:szCs w:val="18"/>
                <w:lang w:eastAsia="en-US"/>
              </w:rPr>
            </w:r>
          </w:p>
          <w:p>
            <w:pPr>
              <w:ind w:firstLine="201"/>
              <w:spacing w:before="40" w:after="40" w:line="240" w:lineRule="auto"/>
              <w:widowControl w:val="off"/>
              <w:rPr>
                <w:sz w:val="18"/>
              </w:rPr>
            </w:pPr>
            <w:r>
              <w:rPr>
                <w:sz w:val="18"/>
              </w:rPr>
              <w:t xml:space="preserve">При оценке участника критерий оценки «Отношение Участника закупки к изготовителю (производителю) предлагаемой продукции (в том числе её части)» </w:t>
            </w:r>
            <w:r>
              <w:rPr>
                <w:sz w:val="18"/>
              </w:rPr>
              <w:t xml:space="preserve">применяется с учетом объема (по стоимости) предлагаемой Участником в данном статусе продукции (товара), при этом:</w:t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  <w:p>
            <w:pPr>
              <w:contextualSpacing/>
              <w:ind w:firstLine="201"/>
              <w:jc w:val="center"/>
              <w:spacing w:after="40"/>
              <w:widowControl w:val="off"/>
              <w:rPr>
                <w:szCs w:val="18"/>
              </w:rPr>
            </w:pPr>
            <w:r/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rPr/>
                      <m:t>Б</m:t>
                    </m:r>
                  </m:e>
                  <m:sub>
                    <m:r>
                      <w:rPr>
                        <w:rFonts w:ascii="Cambria Math" w:hAnsi="Cambria Math"/>
                      </w:rPr>
                      <m:rPr/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rPr/>
                  <m:t>=</m:t>
                </m:r>
                <m:nary>
                  <m:naryPr>
                    <m:chr m:val="∑"/>
                    <m:grow m:val="off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rPr/>
                      <m:t>k=1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rPr/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rPr/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rPr/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rPr/>
                      <m:t>*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rPr/>
                          <m:t>Б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rPr/>
                          <m:t>i</m:t>
                        </m:r>
                      </m:sub>
                    </m:sSub>
                  </m:e>
                </m:nary>
              </m:oMath>
            </m:oMathPara>
            <w:r>
              <w:rPr>
                <w:szCs w:val="18"/>
              </w:rPr>
            </w:r>
            <w:r>
              <w:rPr>
                <w:szCs w:val="18"/>
              </w:rPr>
            </w:r>
          </w:p>
          <w:tbl>
            <w:tblPr>
              <w:tblW w:w="5982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5104"/>
            </w:tblGrid>
            <w:tr>
              <w:tblPrEx/>
              <w:trPr>
                <w:cantSplit/>
                <w:trHeight w:val="299"/>
              </w:trPr>
              <w:tc>
                <w:tcPr>
                  <w:shd w:val="clear" w:color="ffffff" w:fill="ffffff" w:themeFill="background1"/>
                  <w:tcBorders>
                    <w:bottom w:val="single" w:color="000000" w:sz="4" w:space="0"/>
                    <w:right w:val="single" w:color="000000" w:sz="4" w:space="0"/>
                  </w:tcBorders>
                  <w:tcW w:w="878" w:type="dxa"/>
                  <w:textDirection w:val="lrTb"/>
                  <w:noWrap w:val="false"/>
                </w:tcPr>
                <w:p>
                  <w:pPr>
                    <w:ind w:firstLine="0"/>
                    <w:jc w:val="left"/>
                    <w:spacing w:line="240" w:lineRule="auto"/>
                    <w:rPr>
                      <w:rFonts w:eastAsia="Calibri"/>
                      <w:sz w:val="18"/>
                      <w:szCs w:val="18"/>
                    </w:rPr>
                  </w:pPr>
                  <w:r>
                    <w:br/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Бi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0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ffffff" w:fill="ffffff" w:themeFill="background1"/>
                  <w:tcBorders>
                    <w:left w:val="single" w:color="000000" w:sz="4" w:space="0"/>
                    <w:bottom w:val="single" w:color="000000" w:sz="4" w:space="0"/>
                  </w:tcBorders>
                  <w:tcW w:w="5104" w:type="dxa"/>
                  <w:vAlign w:val="center"/>
                  <w:textDirection w:val="lrTb"/>
                  <w:noWrap w:val="false"/>
                </w:tcPr>
                <w:p>
                  <w:pPr>
                    <w:pStyle w:val="789"/>
                    <w:ind w:firstLine="567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1. Участник не является изготовителем (производителем) и/или аффилированным изготовителю (производителю) по одному из пунктов, указанных в Таблице - Признаки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аффилирова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нности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и документы, подтверждающие данные признаки (форма №10 Документации о закупке), и/или представителем изготовителя (производителя).</w:t>
                  </w:r>
                  <w:r/>
                </w:p>
                <w:p>
                  <w:pPr>
                    <w:pStyle w:val="789"/>
                    <w:ind w:firstLine="567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 2. В случае непре</w:t>
                  </w:r>
                  <w:bookmarkStart w:id="0" w:name="_GoBack"/>
                  <w:r/>
                  <w:bookmarkEnd w:id="0"/>
                  <w:r>
                    <w:rPr>
                      <w:color w:val="000000"/>
                      <w:sz w:val="20"/>
                      <w:szCs w:val="20"/>
                    </w:rPr>
                    <w:t xml:space="preserve">дставления документов, подтверждающих статус Участника.</w:t>
                  </w:r>
                  <w:r/>
                </w:p>
              </w:tc>
            </w:tr>
            <w:tr>
              <w:tblPrEx/>
              <w:trPr>
                <w:cantSplit/>
                <w:trHeight w:val="299"/>
              </w:trPr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78" w:type="dxa"/>
                  <w:textDirection w:val="lrTb"/>
                  <w:noWrap w:val="false"/>
                </w:tcPr>
                <w:p>
                  <w:pPr>
                    <w:ind w:firstLine="0"/>
                    <w:jc w:val="left"/>
                    <w:spacing w:line="240" w:lineRule="auto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1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104" w:type="dxa"/>
                  <w:vAlign w:val="center"/>
                  <w:textDirection w:val="lrTb"/>
                  <w:noWrap w:val="false"/>
                </w:tcPr>
                <w:p>
                  <w:pPr>
                    <w:pStyle w:val="789"/>
                    <w:ind w:firstLine="567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Участник является представителем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изготовителя (производителя)</w:t>
                  </w:r>
                  <w:r/>
                </w:p>
                <w:p>
                  <w:pPr>
                    <w:pStyle w:val="789"/>
                    <w:ind w:firstLine="567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(статус подтверждается действующими на момент подачи заявки документами изготовителя (производителя), в которых указан статус Участника в качестве представителя/дилера, сроком действия не менее одного года).</w:t>
                  </w:r>
                  <w:r/>
                </w:p>
              </w:tc>
            </w:tr>
            <w:tr>
              <w:tblPrEx/>
              <w:trPr>
                <w:cantSplit/>
                <w:trHeight w:val="299"/>
              </w:trPr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78" w:type="dxa"/>
                  <w:textDirection w:val="lrTb"/>
                  <w:noWrap w:val="false"/>
                </w:tcPr>
                <w:p>
                  <w:pPr>
                    <w:ind w:firstLine="0"/>
                    <w:jc w:val="left"/>
                    <w:spacing w:line="240" w:lineRule="auto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2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104" w:type="dxa"/>
                  <w:vAlign w:val="center"/>
                  <w:textDirection w:val="lrTb"/>
                  <w:noWrap w:val="false"/>
                </w:tcPr>
                <w:p>
                  <w:pPr>
                    <w:pStyle w:val="789"/>
                    <w:ind w:firstLine="567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Участник явл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яется официальным представителем изготовителя (производителя)</w:t>
                  </w:r>
                  <w:r/>
                </w:p>
                <w:p>
                  <w:pPr>
                    <w:pStyle w:val="789"/>
                    <w:ind w:firstLine="567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(статус подтверждается копией подписанного с обеих сторон действующего на момент подачи заявки договора (либо соглашения) с изготовителем (производителем), сроком действия не менее одного года,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предметом которого является представление Участником интересов изготовителя (производителя) в части предлагаемой реализации продукции (товара))</w:t>
                  </w:r>
                  <w:r/>
                </w:p>
              </w:tc>
            </w:tr>
            <w:tr>
              <w:tblPrEx/>
              <w:trPr>
                <w:cantSplit/>
                <w:trHeight w:val="299"/>
              </w:trPr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78" w:type="dxa"/>
                  <w:textDirection w:val="lrTb"/>
                  <w:noWrap w:val="false"/>
                </w:tcPr>
                <w:p>
                  <w:pPr>
                    <w:ind w:firstLine="0"/>
                    <w:jc w:val="left"/>
                    <w:spacing w:line="240" w:lineRule="auto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Бi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3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104" w:type="dxa"/>
                  <w:vAlign w:val="center"/>
                  <w:textDirection w:val="lrTb"/>
                  <w:noWrap w:val="false"/>
                </w:tcPr>
                <w:p>
                  <w:pPr>
                    <w:pStyle w:val="789"/>
                    <w:ind w:firstLine="567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Участник является аффилированным изготовителю (производителю) по одному из следующих пунктов 7, 9 указа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нных в Таблице - Признаки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аффилированности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и документы, подтверждающие данные признаки (форма №10 Документации о закупке). (статус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аффилированности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подтверждается Справкой об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аффилированности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участника закупки с изготовителем (производителем) предлагаемой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продукции (товара), с приложением подтверждающих документов по форме, приведенной в Документации о закупке)</w:t>
                  </w:r>
                  <w:r/>
                </w:p>
              </w:tc>
            </w:tr>
            <w:tr>
              <w:tblPrEx/>
              <w:trPr>
                <w:cantSplit/>
                <w:trHeight w:val="299"/>
              </w:trPr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78" w:type="dxa"/>
                  <w:textDirection w:val="lrTb"/>
                  <w:noWrap w:val="false"/>
                </w:tcPr>
                <w:p>
                  <w:pPr>
                    <w:ind w:firstLine="0"/>
                    <w:jc w:val="left"/>
                    <w:spacing w:line="240" w:lineRule="auto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4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104" w:type="dxa"/>
                  <w:vAlign w:val="center"/>
                  <w:textDirection w:val="lrTb"/>
                  <w:noWrap w:val="false"/>
                </w:tcPr>
                <w:p>
                  <w:pPr>
                    <w:pStyle w:val="789"/>
                    <w:ind w:firstLine="567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 xml:space="preserve">Участник является аффилированным изготовителю (производителю) по одному из следующих пунктов </w:t>
                  </w:r>
                  <w:commentRangeStart w:id="0"/>
                  <w:r>
                    <w:rPr>
                      <w:bCs/>
                      <w:color w:val="000000"/>
                      <w:sz w:val="20"/>
                      <w:szCs w:val="20"/>
                    </w:rPr>
                    <w:t xml:space="preserve"> </w:t>
                  </w:r>
                  <w:commentRangeEnd w:id="0"/>
                  <w:r>
                    <w:commentReference w:id="0"/>
                  </w:r>
                  <w:r>
                    <w:rPr>
                      <w:bCs/>
                      <w:color w:val="000000"/>
                      <w:sz w:val="20"/>
                      <w:szCs w:val="20"/>
                    </w:rPr>
                    <w:t xml:space="preserve">4, 5, 8, 10, указанных в Таблице - Признаки </w:t>
                  </w:r>
                  <w:r>
                    <w:rPr>
                      <w:bCs/>
                      <w:color w:val="000000"/>
                      <w:sz w:val="20"/>
                      <w:szCs w:val="20"/>
                    </w:rPr>
                    <w:t xml:space="preserve">аффилированности</w:t>
                  </w:r>
                  <w:r>
                    <w:rPr>
                      <w:bCs/>
                      <w:color w:val="000000"/>
                      <w:sz w:val="20"/>
                      <w:szCs w:val="20"/>
                    </w:rPr>
                    <w:t xml:space="preserve"> и документы, подтверждающие данные признаки (форма №10 Документации о закупке).</w:t>
                  </w:r>
                  <w:r/>
                </w:p>
                <w:p>
                  <w:pPr>
                    <w:pStyle w:val="789"/>
                    <w:ind w:firstLine="567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(статус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аффилированности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подтверждается Справкой об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аффилированности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Участника закупки с изготовителем (производителем) предлагаемой продукции (товара), с прил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ожением подтверждающих документов по форме, приведенной в Документации о закупке)</w:t>
                  </w:r>
                  <w:r/>
                </w:p>
              </w:tc>
            </w:tr>
            <w:tr>
              <w:tblPrEx/>
              <w:trPr>
                <w:cantSplit/>
                <w:trHeight w:val="299"/>
              </w:trPr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right w:val="single" w:color="000000" w:sz="4" w:space="0"/>
                  </w:tcBorders>
                  <w:tcW w:w="878" w:type="dxa"/>
                  <w:textDirection w:val="lrTb"/>
                  <w:noWrap w:val="false"/>
                </w:tcPr>
                <w:p>
                  <w:pPr>
                    <w:ind w:firstLine="0"/>
                    <w:jc w:val="left"/>
                    <w:spacing w:line="240" w:lineRule="auto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Бi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= 5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</w:tc>
              <w:tc>
                <w:tcPr>
                  <w:shd w:val="clear" w:color="ffffff" w:fill="ffffff" w:themeFill="background1"/>
                  <w:tcBorders>
                    <w:top w:val="single" w:color="000000" w:sz="4" w:space="0"/>
                    <w:left w:val="single" w:color="000000" w:sz="4" w:space="0"/>
                  </w:tcBorders>
                  <w:tcW w:w="5104" w:type="dxa"/>
                  <w:vAlign w:val="center"/>
                  <w:textDirection w:val="lrTb"/>
                  <w:noWrap w:val="false"/>
                </w:tcPr>
                <w:p>
                  <w:pPr>
                    <w:pStyle w:val="789"/>
                    <w:jc w:val="both"/>
                    <w:spacing w:before="40" w:beforeAutospacing="0" w:after="40" w:afterAutospacing="0"/>
                    <w:widowControl w:val="off"/>
                    <w:rPr>
                      <w:sz w:val="20"/>
                      <w:szCs w:val="20"/>
                    </w:rPr>
                  </w:pPr>
                  <w:r>
                    <w:t xml:space="preserve">1.</w:t>
                  </w:r>
                  <w:r>
                    <w:rPr>
                      <w:sz w:val="20"/>
                      <w:szCs w:val="20"/>
                    </w:rPr>
                    <w:t xml:space="preserve"> Участник является изготовителем (производителем)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789"/>
                    <w:jc w:val="both"/>
                    <w:spacing w:before="40" w:beforeAutospacing="0" w:after="40" w:afterAutospacing="0"/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(подтверждается документами на предлагаемую продукцию (товар), в которых указан изготовитель (производитель)) **. П</w:t>
                  </w:r>
                  <w:r>
                    <w:rPr>
                      <w:sz w:val="20"/>
                      <w:szCs w:val="20"/>
                    </w:rPr>
                    <w:t xml:space="preserve">ри этом в документах на предлагаемую продукцию (товар) и в Техническом / Коммерческом предложении должен быть указан один и тот же изготовитель (производитель).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789"/>
                    <w:jc w:val="both"/>
                    <w:spacing w:before="40" w:beforeAutospacing="0" w:after="40" w:afterAutospacing="0"/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789"/>
                    <w:jc w:val="both"/>
                    <w:spacing w:before="40" w:beforeAutospacing="0" w:after="40" w:afterAutospacing="0"/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2. Участник является аффилированным изготовителю (производителю) по одному из следующих пункто</w:t>
                  </w:r>
                  <w:r>
                    <w:rPr>
                      <w:sz w:val="20"/>
                      <w:szCs w:val="20"/>
                    </w:rPr>
                    <w:t xml:space="preserve">в 1, 2, 3, 6, 11, указанных в Таблице - Признаки </w:t>
                  </w:r>
                  <w:r>
                    <w:rPr>
                      <w:sz w:val="20"/>
                      <w:szCs w:val="20"/>
                    </w:rPr>
                    <w:t xml:space="preserve">аффилированности</w:t>
                  </w:r>
                  <w:r>
                    <w:rPr>
                      <w:sz w:val="20"/>
                      <w:szCs w:val="20"/>
                    </w:rPr>
                    <w:t xml:space="preserve"> и документы, подтверждающие данные признаки (форма №10 Документации о закупке).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789"/>
                    <w:jc w:val="both"/>
                    <w:spacing w:before="40" w:beforeAutospacing="0" w:after="40" w:afterAutospacing="0"/>
                    <w:widowControl w:val="off"/>
                  </w:pPr>
                  <w:r>
                    <w:rPr>
                      <w:sz w:val="20"/>
                      <w:szCs w:val="20"/>
                    </w:rPr>
                    <w:t xml:space="preserve">(статус </w:t>
                  </w:r>
                  <w:r>
                    <w:rPr>
                      <w:sz w:val="20"/>
                      <w:szCs w:val="20"/>
                    </w:rPr>
                    <w:t xml:space="preserve">аффилированности</w:t>
                  </w:r>
                  <w:r>
                    <w:rPr>
                      <w:sz w:val="20"/>
                      <w:szCs w:val="20"/>
                    </w:rPr>
                    <w:t xml:space="preserve"> подтверждается Справкой об </w:t>
                  </w:r>
                  <w:r>
                    <w:rPr>
                      <w:sz w:val="20"/>
                      <w:szCs w:val="20"/>
                    </w:rPr>
                    <w:t xml:space="preserve">аффилированности</w:t>
                  </w:r>
                  <w:r>
                    <w:rPr>
                      <w:sz w:val="20"/>
                      <w:szCs w:val="20"/>
                    </w:rPr>
                    <w:t xml:space="preserve"> Участника закупки с изготовителем (произв</w:t>
                  </w:r>
                  <w:r>
                    <w:rPr>
                      <w:sz w:val="20"/>
                      <w:szCs w:val="20"/>
                    </w:rPr>
                    <w:t xml:space="preserve">одителем) предлагаемой продукции (товара), с приложением подтверждающих документов по форме, приведенной в Документации о закупке)</w:t>
                  </w:r>
                  <w:r/>
                </w:p>
              </w:tc>
            </w:tr>
          </w:tbl>
          <w:p>
            <w:pPr>
              <w:ind w:firstLine="0"/>
              <w:jc w:val="left"/>
              <w:spacing w:before="40" w:after="40"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где: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ind w:firstLine="8"/>
              <w:spacing w:line="240" w:lineRule="auto"/>
              <w:rPr>
                <w:sz w:val="18"/>
                <w:szCs w:val="18"/>
              </w:rPr>
            </w:pPr>
            <w:r/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rPr/>
                    <m:t>Б</m:t>
                  </m:r>
                </m:e>
                <m:sub>
                  <m:r>
                    <w:rPr>
                      <w:rFonts w:ascii="Cambria Math" w:hAnsi="Cambria Math"/>
                    </w:rPr>
                    <m:rPr/>
                    <m:t>2</m:t>
                  </m:r>
                </m:sub>
              </m:sSub>
            </m:oMath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рассчитанная оценка по данному частному критерию оценки в баллах.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firstLine="8"/>
              <w:spacing w:line="240" w:lineRule="auto"/>
              <w:rPr>
                <w:sz w:val="18"/>
                <w:szCs w:val="18"/>
              </w:rPr>
            </w:pPr>
            <w:r/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rPr/>
                    <m:t>Б</m:t>
                  </m:r>
                </m:e>
                <m:sub>
                  <m:r>
                    <w:rPr>
                      <w:rFonts w:ascii="Cambria Math" w:hAnsi="Cambria Math"/>
                    </w:rPr>
                    <m:rPr/>
                    <m:t>i</m:t>
                  </m:r>
                </m:sub>
              </m:sSub>
            </m:oMath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балл, соответствующий отношению Участника к изготовителю (производителю) предлагаемой продукции (товара).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firstLine="8"/>
              <w:spacing w:line="240" w:lineRule="auto"/>
              <w:rPr>
                <w:sz w:val="18"/>
                <w:szCs w:val="18"/>
              </w:rPr>
            </w:pPr>
            <w:r/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rPr/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rPr/>
                    <m:t>i</m:t>
                  </m:r>
                </m:sub>
              </m:sSub>
            </m:oMath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коэффициент, пропорциональный объему (по стоимости) предлагаемой Участником в данном статусе продукции (товара).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firstLine="8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* В случае если Участник является Коллективным Участником, то осуществляется оценка каждого члена Коллективного Участника (включая лид</w:t>
            </w:r>
            <w:r>
              <w:rPr>
                <w:b/>
                <w:bCs/>
                <w:sz w:val="18"/>
                <w:szCs w:val="18"/>
              </w:rPr>
              <w:t xml:space="preserve">ера Коллективного Участника) с учетом объема (по стоимости) поставки в соответствии с Коммерческим / Техническим предложением и/или с Планом распределения объемов поставки продукции внутри Коллективного Участника, представленными в составе заявки Участника</w:t>
            </w:r>
            <w:r>
              <w:rPr>
                <w:b/>
                <w:bCs/>
                <w:sz w:val="18"/>
                <w:szCs w:val="18"/>
              </w:rPr>
              <w:t xml:space="preserve">. Оценки каждого члена Коллективного Участника (включая лидера Коллективного Участника) суммируются. При этом итоговая (общая) оценка (итоговый балл) Коллективного Участника по данному критерию присваивается с учетом статуса Лидера Коллективного Участника: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ind w:firstLine="8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- Лидер Коллективного Участника не является изготовителем (производителем) предлагаемой продукции — итоговый балл не может превышать 2 балла;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ind w:firstLine="8"/>
              <w:spacing w:line="240" w:lineRule="auto"/>
              <w:tabs>
                <w:tab w:val="left" w:pos="203" w:leader="none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- Лидер Коллективного Участника является изготовителем (производителем) предлагаемой продукции — ограничений по итоговому баллу нет.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rPr>
                <w:b/>
                <w:bCs/>
                <w:sz w:val="8"/>
                <w:szCs w:val="18"/>
              </w:rPr>
            </w:pPr>
            <w:r>
              <w:rPr>
                <w:b/>
                <w:bCs/>
                <w:sz w:val="8"/>
                <w:szCs w:val="18"/>
              </w:rPr>
            </w:r>
            <w:r>
              <w:rPr>
                <w:b/>
                <w:bCs/>
                <w:sz w:val="8"/>
                <w:szCs w:val="18"/>
              </w:rPr>
            </w:r>
            <w:r>
              <w:rPr>
                <w:b/>
                <w:bCs/>
                <w:sz w:val="8"/>
                <w:szCs w:val="18"/>
              </w:rPr>
            </w:r>
          </w:p>
          <w:p>
            <w:pPr>
              <w:ind w:firstLine="0"/>
              <w:spacing w:before="96" w:after="96"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Шкала оценок от 0 до 5 баллов.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** Такими документами на предлагаемую продукцию могут являться: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а) Сертификат/декларация соответствия и/или;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- Протокол испытаний и/или;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- Сертификат качества и/или;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- Паспорт и/или;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- Технические условия </w:t>
            </w:r>
            <w:r>
              <w:rPr>
                <w:sz w:val="20"/>
              </w:rPr>
              <w:t xml:space="preserve">и/или;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- Руководство по эксплуатации и/или;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- Техническое описание и/или;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- Инспекционный (аналитический) отчёт (сертификат) и/или;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- Сертификат отбора проб и анализа (испытаний) и/или;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- Номер реестровой записи из Реестра российской промышленной продукции</w:t>
            </w:r>
            <w:r>
              <w:rPr>
                <w:sz w:val="20"/>
              </w:rPr>
              <w:t xml:space="preserve"> (ПП РФ 719 от 17.07.2015).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spacing w:line="240" w:lineRule="auto"/>
              <w:widowControl w:val="off"/>
              <w:rPr>
                <w:sz w:val="20"/>
              </w:rPr>
            </w:pPr>
            <w:r>
              <w:rPr>
                <w:sz w:val="20"/>
              </w:rPr>
              <w:t xml:space="preserve">Либо: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ind w:firstLine="0"/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20"/>
              </w:rPr>
              <w:t xml:space="preserve">   б) Иной документ на предлагаемую продукцию, предусмотренный условиями Технических требований Документации о закупке (применяется в исключительных случаях при невозможности применить пункт а));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ОРГ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77"/>
              <w:numPr>
                <w:ilvl w:val="7"/>
                <w:numId w:val="4"/>
              </w:numPr>
              <w:jc w:val="center"/>
              <w:spacing w:before="40" w:after="4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Неценовой </w:t>
            </w:r>
            <w:r>
              <w:rPr>
                <w:sz w:val="18"/>
                <w:szCs w:val="18"/>
                <w:lang w:eastAsia="ru-RU"/>
              </w:rPr>
              <w:t xml:space="preserve">критерий оценки первого уровня /</w:t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ind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textDirection w:val="lrTb"/>
            <w:noWrap w:val="false"/>
          </w:tcPr>
          <w:p>
            <w:pPr>
              <w:pStyle w:val="777"/>
              <w:numPr>
                <w:ilvl w:val="7"/>
                <w:numId w:val="5"/>
              </w:numPr>
              <w:jc w:val="center"/>
              <w:spacing w:before="40" w:after="40" w:line="240" w:lineRule="auto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</w:rPr>
              <w:t xml:space="preserve">Финансовое состояние (устойчивость) Участника</w:t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Отсутствует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5%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(В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3</w:t>
            </w:r>
            <w:r>
              <w:rPr>
                <w:rFonts w:eastAsia="Calibri"/>
                <w:sz w:val="18"/>
                <w:szCs w:val="18"/>
              </w:rPr>
              <w:t xml:space="preserve"> = 0,05)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</w:pPr>
            <w:r>
              <w:rPr>
                <w:rFonts w:eastAsia="Calibri"/>
                <w:sz w:val="18"/>
                <w:szCs w:val="18"/>
              </w:rPr>
              <w:t xml:space="preserve">Чем выше результат оценки финансового состояния (устойчивости) Участника, тем выше предпочтительность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7" w:type="dxa"/>
            <w:textDirection w:val="lrTb"/>
            <w:noWrap w:val="false"/>
          </w:tcPr>
          <w:p>
            <w:pPr>
              <w:ind w:firstLine="0"/>
              <w:spacing w:before="119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Расчет оценки предпочтительности по частному </w:t>
            </w:r>
            <w:r>
              <w:rPr>
                <w:rFonts w:eastAsia="Calibri"/>
                <w:sz w:val="18"/>
                <w:szCs w:val="18"/>
              </w:rPr>
              <w:t xml:space="preserve">критерию по методу «Оценка предпочтительности посредством однозначной числовой шкалы измерений»: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before="119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Порядок осуществления оценки (значение оцениваемого параметра), в зависимости от полученного Участником (с </w:t>
            </w:r>
            <w:r>
              <w:rPr>
                <w:i/>
                <w:sz w:val="18"/>
                <w:szCs w:val="18"/>
                <w:lang w:val="en-US"/>
              </w:rPr>
              <w:t xml:space="preserve">i</w:t>
            </w:r>
            <w:r>
              <w:rPr>
                <w:sz w:val="18"/>
                <w:szCs w:val="18"/>
              </w:rPr>
              <w:t xml:space="preserve">-ой заявкой) значения расчетного балла </w:t>
            </w:r>
            <w:r>
              <w:rPr>
                <w:sz w:val="18"/>
                <w:szCs w:val="18"/>
              </w:rPr>
              <w:t xml:space="preserve">(интегрального показателя финансового состояния) и установленной соответствующей характеристики его финансового состояния (кризисное / неустойчивое / устойчивое) по результатам проведенной в рамках аккредитации оценки его финансового состояния (устойчивост</w:t>
            </w:r>
            <w:r>
              <w:rPr>
                <w:sz w:val="18"/>
                <w:szCs w:val="18"/>
              </w:rPr>
              <w:t xml:space="preserve">и), при этом: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numPr>
                <w:ilvl w:val="0"/>
                <w:numId w:val="6"/>
              </w:numPr>
              <w:ind w:left="346" w:hanging="284"/>
              <w:spacing w:before="119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порядок проведения оценки финансового состояния (устойчивости) Участника</w:t>
            </w:r>
            <w:r>
              <w:rPr>
                <w:rStyle w:val="737"/>
                <w:rFonts w:eastAsia="Calibri"/>
                <w:sz w:val="18"/>
                <w:szCs w:val="18"/>
              </w:rPr>
              <w:footnoteReference w:id="2"/>
            </w:r>
            <w:r>
              <w:rPr>
                <w:rFonts w:eastAsia="Calibri"/>
                <w:sz w:val="18"/>
                <w:szCs w:val="18"/>
              </w:rPr>
              <w:t xml:space="preserve"> установлен Приложение 4 к Положению об аккредитации;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numPr>
                <w:ilvl w:val="0"/>
                <w:numId w:val="6"/>
              </w:numPr>
              <w:ind w:left="346" w:hanging="284"/>
              <w:spacing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исходными данными для расчета интегрального показателя финансового состояния Участника являются сведения, представл</w:t>
            </w:r>
            <w:r>
              <w:rPr>
                <w:rFonts w:eastAsia="Calibri"/>
                <w:sz w:val="18"/>
                <w:szCs w:val="18"/>
              </w:rPr>
              <w:t xml:space="preserve">енные в опубликованной в </w:t>
            </w:r>
            <w:r>
              <w:rPr>
                <w:rFonts w:eastAsia="Calibri"/>
                <w:sz w:val="18"/>
                <w:szCs w:val="18"/>
              </w:rPr>
              <w:t xml:space="preserve">государственном информационном ресурсе бухгалтерской (финансовой) отчетности организаций (</w:t>
            </w:r>
            <w:hyperlink r:id="rId9" w:tooltip="https://bo.nalog.ru/" w:history="1">
              <w:r>
                <w:rPr>
                  <w:rStyle w:val="734"/>
                  <w:rFonts w:eastAsia="Calibri"/>
                  <w:sz w:val="18"/>
                  <w:szCs w:val="18"/>
                </w:rPr>
                <w:t xml:space="preserve">https://bo.nalog.ru</w:t>
              </w:r>
            </w:hyperlink>
            <w:r>
              <w:rPr>
                <w:rFonts w:eastAsia="Calibri"/>
                <w:sz w:val="18"/>
                <w:szCs w:val="18"/>
              </w:rPr>
              <w:t xml:space="preserve">) за предыдущий отчетный период (год).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346"/>
              <w:spacing w:before="119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Если Участник в </w:t>
            </w:r>
            <w:r>
              <w:rPr>
                <w:rFonts w:eastAsia="Calibri"/>
                <w:sz w:val="18"/>
                <w:szCs w:val="18"/>
              </w:rPr>
              <w:t xml:space="preserve">соответствии с законодательством РФ не размещает сведения о своей бухгалтерской (финансовой) отчетности в упомянутом государственном информационном ресурсе – оценка его финансового состояния производится на основании электронной копии бухгалтерской отчетно</w:t>
            </w:r>
            <w:r>
              <w:rPr>
                <w:rFonts w:eastAsia="Calibri"/>
                <w:sz w:val="18"/>
                <w:szCs w:val="18"/>
              </w:rPr>
              <w:t xml:space="preserve">сти, представленной в составе Заявки на аккредитацию (или отдельно в составе заявки на участие в закупке, если ранее при прохождении аккредитации не были представлены);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numPr>
                <w:ilvl w:val="0"/>
                <w:numId w:val="6"/>
              </w:numPr>
              <w:ind w:left="346" w:hanging="284"/>
              <w:spacing w:before="119" w:after="28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оценки предпочтительности по частному критерию</w:t>
            </w:r>
            <w:r>
              <w:rPr>
                <w:sz w:val="18"/>
                <w:szCs w:val="18"/>
              </w:rPr>
              <w:t xml:space="preserve"> осуществляется в соответствии со </w:t>
            </w:r>
            <w:r>
              <w:rPr>
                <w:rFonts w:eastAsia="Calibri"/>
                <w:sz w:val="18"/>
                <w:szCs w:val="18"/>
              </w:rPr>
              <w:t xml:space="preserve">шкалой</w:t>
            </w:r>
            <w:r>
              <w:rPr>
                <w:sz w:val="18"/>
                <w:szCs w:val="18"/>
              </w:rPr>
              <w:t xml:space="preserve">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tbl>
            <w:tblPr>
              <w:tblW w:w="6412" w:type="dxa"/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5528"/>
            </w:tblGrid>
            <w:tr>
              <w:tblPrEx/>
              <w:trPr>
                <w:cantSplit/>
              </w:trPr>
              <w:tc>
                <w:tcPr>
                  <w:tcBorders>
                    <w:bottom w:val="single" w:color="000000" w:sz="4" w:space="0"/>
                    <w:right w:val="single" w:color="000000" w:sz="4" w:space="0"/>
                  </w:tcBorders>
                  <w:tcW w:w="884" w:type="dxa"/>
                  <w:textDirection w:val="lrTb"/>
                  <w:noWrap w:val="false"/>
                </w:tcPr>
                <w:p>
                  <w:pPr>
                    <w:pStyle w:val="777"/>
                    <w:numPr>
                      <w:ilvl w:val="7"/>
                      <w:numId w:val="7"/>
                    </w:numPr>
                    <w:jc w:val="center"/>
                    <w:spacing w:before="40" w:after="40" w:line="240" w:lineRule="auto"/>
                    <w:rPr>
                      <w:sz w:val="18"/>
                      <w:szCs w:val="18"/>
                      <w:lang w:eastAsia="ru-RU"/>
                    </w:rPr>
                  </w:pPr>
                  <w:r>
                    <w:rPr>
                      <w:sz w:val="18"/>
                      <w:szCs w:val="18"/>
                      <w:lang w:eastAsia="ru-RU"/>
                    </w:rPr>
                    <w:t xml:space="preserve">Б</w:t>
                  </w:r>
                  <w:r>
                    <w:rPr>
                      <w:sz w:val="18"/>
                      <w:szCs w:val="18"/>
                      <w:vertAlign w:val="subscript"/>
                      <w:lang w:eastAsia="ru-RU"/>
                    </w:rPr>
                    <w:t xml:space="preserve">3</w:t>
                  </w:r>
                  <w:r>
                    <w:rPr>
                      <w:sz w:val="18"/>
                      <w:szCs w:val="18"/>
                      <w:lang w:eastAsia="ru-RU"/>
                    </w:rPr>
                    <w:t xml:space="preserve"> = 0</w:t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5527" w:type="dxa"/>
                  <w:textDirection w:val="lrTb"/>
                  <w:noWrap w:val="false"/>
                </w:tcPr>
                <w:p>
                  <w:pPr>
                    <w:ind w:firstLine="0"/>
                    <w:spacing w:line="252" w:lineRule="auto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Результат оценки финансового состояния (устойчивости): менее 0,45 балла – Кризисное финансовое состояние;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  <w:p>
                  <w:pPr>
                    <w:ind w:firstLine="0"/>
                    <w:spacing w:line="252" w:lineRule="auto"/>
                    <w:rPr>
                      <w:rFonts w:eastAsia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eastAsia="Calibri"/>
                      <w:i/>
                      <w:iCs/>
                      <w:sz w:val="18"/>
                      <w:szCs w:val="18"/>
                    </w:rPr>
                    <w:t xml:space="preserve">или</w:t>
                  </w:r>
                  <w:r>
                    <w:rPr>
                      <w:rFonts w:eastAsia="Calibri"/>
                      <w:i/>
                      <w:iCs/>
                      <w:sz w:val="18"/>
                      <w:szCs w:val="18"/>
                    </w:rPr>
                  </w:r>
                  <w:r>
                    <w:rPr>
                      <w:rFonts w:eastAsia="Calibri"/>
                      <w:i/>
                      <w:iCs/>
                      <w:sz w:val="18"/>
                      <w:szCs w:val="18"/>
                    </w:rPr>
                  </w:r>
                </w:p>
                <w:p>
                  <w:pPr>
                    <w:ind w:firstLine="0"/>
                    <w:spacing w:line="252" w:lineRule="auto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в случае отсутствия исходных данных для оценки финансового состояния Участника, в том числе если он является: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  <w:p>
                  <w:pPr>
                    <w:pStyle w:val="775"/>
                    <w:numPr>
                      <w:ilvl w:val="4"/>
                      <w:numId w:val="7"/>
                    </w:numPr>
                    <w:ind w:left="209" w:hanging="209"/>
                    <w:jc w:val="left"/>
                    <w:spacing w:before="40" w:after="0" w:line="240" w:lineRule="auto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вновь созданным юридическим 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лицом, которое на дату подачи заявки на участие в закупке в соответствии с законодательством РФ не предоставил в налоговые органы бухгалтерскую (финансовую) отчетность за завершенный финансовый год;</w:t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  <w:r>
                    <w:rPr>
                      <w:rFonts w:eastAsia="Calibri"/>
                      <w:sz w:val="18"/>
                      <w:szCs w:val="18"/>
                    </w:rPr>
                  </w:r>
                </w:p>
                <w:p>
                  <w:pPr>
                    <w:pStyle w:val="775"/>
                    <w:numPr>
                      <w:ilvl w:val="4"/>
                      <w:numId w:val="7"/>
                    </w:numPr>
                    <w:ind w:left="209" w:hanging="209"/>
                    <w:jc w:val="left"/>
                    <w:spacing w:before="0" w:after="40" w:line="240" w:lineRule="auto"/>
                    <w:rPr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физическим лицом (индивидуальным предпринимателем и/или п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рименяющим специальный налоговый режим «Налог на профессиональный доход»), не ведущим бухгалтерскую (финансовую) отчетность;</w:t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84" w:type="dxa"/>
                  <w:textDirection w:val="lrTb"/>
                  <w:noWrap w:val="false"/>
                </w:tcPr>
                <w:p>
                  <w:pPr>
                    <w:pStyle w:val="777"/>
                    <w:numPr>
                      <w:ilvl w:val="7"/>
                      <w:numId w:val="7"/>
                    </w:numPr>
                    <w:jc w:val="center"/>
                    <w:spacing w:before="40" w:after="40" w:line="240" w:lineRule="auto"/>
                    <w:rPr>
                      <w:sz w:val="18"/>
                      <w:szCs w:val="18"/>
                      <w:lang w:eastAsia="ru-RU"/>
                    </w:rPr>
                  </w:pPr>
                  <w:r>
                    <w:rPr>
                      <w:sz w:val="18"/>
                      <w:szCs w:val="18"/>
                      <w:lang w:eastAsia="ru-RU"/>
                    </w:rPr>
                    <w:t xml:space="preserve">Б</w:t>
                  </w:r>
                  <w:r>
                    <w:rPr>
                      <w:sz w:val="18"/>
                      <w:szCs w:val="18"/>
                      <w:vertAlign w:val="subscript"/>
                      <w:lang w:eastAsia="ru-RU"/>
                    </w:rPr>
                    <w:t xml:space="preserve">3</w:t>
                  </w:r>
                  <w:r>
                    <w:rPr>
                      <w:sz w:val="18"/>
                      <w:szCs w:val="18"/>
                      <w:lang w:eastAsia="ru-RU"/>
                    </w:rPr>
                    <w:t xml:space="preserve"> = 3</w:t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527" w:type="dxa"/>
                  <w:textDirection w:val="lrTb"/>
                  <w:noWrap w:val="false"/>
                </w:tcPr>
                <w:p>
                  <w:pPr>
                    <w:pStyle w:val="775"/>
                    <w:numPr>
                      <w:ilvl w:val="0"/>
                      <w:numId w:val="0"/>
                    </w:numPr>
                    <w:jc w:val="left"/>
                    <w:spacing w:before="40" w:after="40" w:line="240" w:lineRule="auto"/>
                    <w:rPr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Результат оценки финансового состояния (устойчивости): от 0,45 балла включительно до 0,90 балла включительно – Неустойчивое</w:t>
                  </w:r>
                  <w:r>
                    <w:rPr>
                      <w:rFonts w:eastAsia="Calibri"/>
                      <w:sz w:val="18"/>
                      <w:szCs w:val="18"/>
                    </w:rPr>
                    <w:t xml:space="preserve"> финансовое состояние;</w:t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84" w:type="dxa"/>
                  <w:textDirection w:val="lrTb"/>
                  <w:noWrap w:val="false"/>
                </w:tcPr>
                <w:p>
                  <w:pPr>
                    <w:pStyle w:val="777"/>
                    <w:numPr>
                      <w:ilvl w:val="7"/>
                      <w:numId w:val="7"/>
                    </w:numPr>
                    <w:jc w:val="center"/>
                    <w:spacing w:before="40" w:after="40" w:line="240" w:lineRule="auto"/>
                    <w:rPr>
                      <w:sz w:val="18"/>
                      <w:szCs w:val="18"/>
                      <w:lang w:eastAsia="ru-RU"/>
                    </w:rPr>
                  </w:pPr>
                  <w:r>
                    <w:rPr>
                      <w:sz w:val="18"/>
                      <w:szCs w:val="18"/>
                      <w:lang w:eastAsia="ru-RU"/>
                    </w:rPr>
                    <w:t xml:space="preserve">Б</w:t>
                  </w:r>
                  <w:r>
                    <w:rPr>
                      <w:sz w:val="18"/>
                      <w:szCs w:val="18"/>
                      <w:vertAlign w:val="subscript"/>
                      <w:lang w:eastAsia="ru-RU"/>
                    </w:rPr>
                    <w:t xml:space="preserve">3</w:t>
                  </w:r>
                  <w:r>
                    <w:rPr>
                      <w:sz w:val="18"/>
                      <w:szCs w:val="18"/>
                      <w:lang w:eastAsia="ru-RU"/>
                    </w:rPr>
                    <w:t xml:space="preserve"> = 5</w:t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527" w:type="dxa"/>
                  <w:textDirection w:val="lrTb"/>
                  <w:noWrap w:val="false"/>
                </w:tcPr>
                <w:p>
                  <w:pPr>
                    <w:pStyle w:val="775"/>
                    <w:numPr>
                      <w:ilvl w:val="0"/>
                      <w:numId w:val="0"/>
                    </w:numPr>
                    <w:jc w:val="left"/>
                    <w:spacing w:before="40" w:after="40" w:line="240" w:lineRule="auto"/>
                    <w:rPr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 xml:space="preserve">Результат оценки финансового состояния (устойчивости): более 0,90 балла – Удовлетворительное финансовое состояние.</w:t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  <w:r>
                    <w:rPr>
                      <w:sz w:val="18"/>
                      <w:szCs w:val="18"/>
                      <w:lang w:eastAsia="ru-RU"/>
                    </w:rPr>
                  </w:r>
                </w:p>
              </w:tc>
            </w:tr>
          </w:tbl>
          <w:p>
            <w:pPr>
              <w:pStyle w:val="776"/>
              <w:numPr>
                <w:ilvl w:val="6"/>
                <w:numId w:val="7"/>
              </w:numPr>
              <w:ind w:left="0" w:firstLine="567"/>
              <w:jc w:val="left"/>
              <w:spacing w:before="96"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где:</w:t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776"/>
              <w:numPr>
                <w:ilvl w:val="6"/>
                <w:numId w:val="7"/>
              </w:numPr>
              <w:ind w:left="349" w:hanging="349"/>
              <w:jc w:val="left"/>
              <w:spacing w:before="0" w:after="0" w:line="240" w:lineRule="auto"/>
              <w:tabs>
                <w:tab w:val="left" w:pos="742" w:leader="none"/>
                <w:tab w:val="left" w:pos="1167" w:leader="none"/>
              </w:tabs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Б</w:t>
            </w:r>
            <w:r>
              <w:rPr>
                <w:sz w:val="18"/>
                <w:szCs w:val="18"/>
                <w:vertAlign w:val="subscript"/>
                <w:lang w:eastAsia="ru-RU"/>
              </w:rPr>
              <w:t xml:space="preserve">3</w:t>
            </w:r>
            <w:r>
              <w:rPr>
                <w:sz w:val="18"/>
                <w:szCs w:val="18"/>
                <w:lang w:eastAsia="ru-RU"/>
              </w:rPr>
              <w:tab/>
              <w:t xml:space="preserve">–</w:t>
            </w:r>
            <w:r>
              <w:rPr>
                <w:sz w:val="18"/>
                <w:szCs w:val="18"/>
                <w:lang w:eastAsia="ru-RU"/>
              </w:rPr>
              <w:tab/>
              <w:t xml:space="preserve">рассчитанная оценка предпочтительности по данному частному критерию оценки в баллах.</w:t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791"/>
              <w:ind w:left="0"/>
              <w:rPr>
                <w:sz w:val="18"/>
                <w:szCs w:val="18"/>
              </w:rPr>
            </w:pPr>
            <w:r/>
            <w:bookmarkStart w:id="2" w:name="undefined"/>
            <w:r>
              <w:rPr>
                <w:sz w:val="18"/>
                <w:szCs w:val="18"/>
              </w:rPr>
              <w:t xml:space="preserve">В случае </w:t>
            </w:r>
            <w:r>
              <w:rPr>
                <w:sz w:val="18"/>
                <w:szCs w:val="18"/>
              </w:rPr>
              <w:t xml:space="preserve">участия в закупке Генерального подрядчика – балл по данному критерию присваивается исходя из оценки финансового состояния Генерального подрядчика без учета субподрядчиков.</w:t>
            </w:r>
            <w:bookmarkEnd w:id="2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777"/>
              <w:numPr>
                <w:ilvl w:val="7"/>
                <w:numId w:val="7"/>
              </w:numPr>
              <w:jc w:val="left"/>
              <w:spacing w:before="40"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В случае участия в закупке Коллективного участника – балл по данному критерию присва</w:t>
            </w:r>
            <w:r>
              <w:rPr>
                <w:sz w:val="18"/>
                <w:szCs w:val="18"/>
              </w:rPr>
              <w:t xml:space="preserve">ивается исходя из средневзвешенной оценки финансового состояния всех членов такого коллективного участника, где весовая значимость показателя </w:t>
            </w:r>
            <w:r>
              <w:rPr>
                <w:sz w:val="18"/>
                <w:szCs w:val="18"/>
              </w:rPr>
              <w:t xml:space="preserve">финансового состояния (устойчивости) каждого члена Коллективного участника определяется на основе объема (объемной</w:t>
            </w:r>
            <w:r>
              <w:rPr>
                <w:sz w:val="18"/>
                <w:szCs w:val="18"/>
              </w:rPr>
              <w:t xml:space="preserve"> доли) поставляемой им продукции согласно Плану распределения объемов поставки продукции (форма №</w:t>
            </w:r>
            <w:r>
              <w:rPr>
                <w:sz w:val="18"/>
                <w:szCs w:val="18"/>
                <w:lang w:eastAsia="ru-RU"/>
              </w:rPr>
              <w:t xml:space="preserve"> 4)</w:t>
            </w:r>
            <w:r>
              <w:rPr>
                <w:sz w:val="18"/>
                <w:szCs w:val="18"/>
              </w:rPr>
              <w:t xml:space="preserve">.</w:t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  <w:p>
            <w:pPr>
              <w:pStyle w:val="777"/>
              <w:numPr>
                <w:ilvl w:val="7"/>
                <w:numId w:val="7"/>
              </w:numPr>
              <w:jc w:val="left"/>
              <w:spacing w:before="0" w:after="96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Шкала оценок от 0 до 5 баллов.</w:t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  <w:p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Тех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Неценовой критерий оценки первого уровня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textDirection w:val="lrTb"/>
            <w:noWrap w:val="false"/>
          </w:tcPr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Наличие у участника совокупного опыта поставки  продукции соответствующей профилю лота: </w:t>
            </w:r>
            <w:r>
              <w:rPr>
                <w:b/>
                <w:bCs/>
                <w:i/>
                <w:sz w:val="22"/>
                <w:szCs w:val="22"/>
                <w:lang w:eastAsia="en-US"/>
              </w:rPr>
              <w:t xml:space="preserve">подшипники качения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jc w:val="center"/>
              <w:spacing w:line="240" w:lineRule="auto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ind w:firstLine="0"/>
              <w:jc w:val="left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Отсутствует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5%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</w:t>
            </w:r>
            <w:r>
              <w:rPr>
                <w:rFonts w:eastAsia="Calibri"/>
                <w:sz w:val="18"/>
                <w:szCs w:val="18"/>
              </w:rPr>
              <w:t xml:space="preserve">В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4</w:t>
            </w:r>
            <w:r>
              <w:rPr>
                <w:sz w:val="18"/>
                <w:szCs w:val="18"/>
                <w:vertAlign w:val="subscript"/>
                <w:lang w:eastAsia="en-US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= 0,05).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-112" w:firstLine="0"/>
              <w:jc w:val="center"/>
              <w:spacing w:before="40" w:after="4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Чем больше опыт поставки продукции соответствующей профилю лота: </w:t>
            </w:r>
            <w:r>
              <w:rPr>
                <w:b/>
                <w:bCs/>
                <w:i/>
                <w:sz w:val="22"/>
                <w:szCs w:val="22"/>
                <w:lang w:eastAsia="en-US"/>
              </w:rPr>
              <w:t xml:space="preserve">подшипники качения</w:t>
            </w:r>
            <w:r>
              <w:rPr>
                <w:sz w:val="18"/>
                <w:szCs w:val="18"/>
              </w:rPr>
              <w:t xml:space="preserve">, тем выше предпочтительност</w:t>
            </w:r>
            <w:r>
              <w:rPr>
                <w:color w:val="000000" w:themeColor="text1"/>
                <w:sz w:val="18"/>
                <w:szCs w:val="18"/>
              </w:rPr>
              <w:t xml:space="preserve">ь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ind w:firstLine="0"/>
              <w:jc w:val="center"/>
              <w:spacing w:before="40" w:after="40" w:line="240" w:lineRule="auto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7" w:type="dxa"/>
            <w:textDirection w:val="lrTb"/>
            <w:noWrap w:val="false"/>
          </w:tcPr>
          <w:p>
            <w:pPr>
              <w:pStyle w:val="776"/>
              <w:numPr>
                <w:ilvl w:val="0"/>
                <w:numId w:val="0"/>
              </w:numPr>
              <w:jc w:val="left"/>
              <w:spacing w:before="0"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 xml:space="preserve">Расчет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  <w:p>
            <w:pPr>
              <w:pStyle w:val="776"/>
              <w:numPr>
                <w:ilvl w:val="0"/>
                <w:numId w:val="0"/>
              </w:numPr>
              <w:spacing w:before="0"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 xml:space="preserve">Порядок осуществления оценки (значение оцениваемого параметра), в зависимости от предоставленных в i-ой заявке к «Справк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е об опыте Участника» приведенной в Документации о закупке (форма 7), документов подтверждающих опыт поставки продукции соответствующей профилю лота : </w:t>
            </w:r>
            <w:r>
              <w:rPr>
                <w:b/>
                <w:bCs/>
                <w:i/>
                <w:sz w:val="22"/>
                <w:szCs w:val="22"/>
              </w:rPr>
              <w:t xml:space="preserve">подшипники качения</w:t>
            </w:r>
            <w:r>
              <w:rPr>
                <w:rFonts w:eastAsia="Calibri"/>
                <w:b/>
                <w:bCs/>
                <w:sz w:val="20"/>
                <w:szCs w:val="20"/>
                <w:lang w:eastAsia="ru-RU"/>
              </w:rPr>
              <w:t xml:space="preserve"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за последние 3 (три) года предшествующих дате подачи заявки участником документов, а именно: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776"/>
              <w:numPr>
                <w:ilvl w:val="0"/>
                <w:numId w:val="0"/>
              </w:numPr>
              <w:spacing w:before="0"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 xml:space="preserve">-копии договоров, подписанных с обеих сторон;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776"/>
              <w:numPr>
                <w:ilvl w:val="0"/>
                <w:numId w:val="0"/>
              </w:numPr>
              <w:spacing w:before="0"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 xml:space="preserve">-копии товарных накладных по форме ТОРГ-12 или УПД (Универсальный передаточный документ), подписанных с обеих сторон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, свидетельствующих о выполнении поставок в рамках каждого предоставленного в виде копии договора,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776"/>
              <w:numPr>
                <w:ilvl w:val="0"/>
                <w:numId w:val="0"/>
              </w:numPr>
              <w:spacing w:before="0"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  <w:lang w:eastAsia="ru-RU"/>
              </w:rPr>
              <w:t xml:space="preserve">в объеме: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tbl>
            <w:tblPr>
              <w:tblW w:w="6123" w:type="dxa"/>
              <w:tblLayout w:type="fixed"/>
              <w:tblLook w:val="04A0" w:firstRow="1" w:lastRow="0" w:firstColumn="1" w:lastColumn="0" w:noHBand="0" w:noVBand="1"/>
            </w:tblPr>
            <w:tblGrid>
              <w:gridCol w:w="819"/>
              <w:gridCol w:w="5304"/>
            </w:tblGrid>
            <w:tr>
              <w:tblPrEx/>
              <w:trPr>
                <w:cantSplit/>
                <w:trHeight w:val="302"/>
              </w:trPr>
              <w:tc>
                <w:tcPr>
                  <w:tcBorders>
                    <w:bottom w:val="single" w:color="000000" w:sz="4" w:space="0"/>
                    <w:right w:val="single" w:color="000000" w:sz="4" w:space="0"/>
                  </w:tcBorders>
                  <w:tcW w:w="819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</w:t>
                  </w:r>
                  <w:r>
                    <w:rPr>
                      <w:rFonts w:eastAsia="Calibri"/>
                      <w:sz w:val="20"/>
                      <w:vertAlign w:val="subscript"/>
                    </w:rPr>
                    <w:t xml:space="preserve">4 </w:t>
                  </w:r>
                  <w:r>
                    <w:rPr>
                      <w:rFonts w:eastAsia="Calibri"/>
                      <w:sz w:val="20"/>
                    </w:rPr>
                    <w:t xml:space="preserve">= 0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5303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более 30 % НМЦ «без учета НДС», до 40% НМЦ «без учета НДС» (включительно);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</w:tr>
            <w:tr>
              <w:tblPrEx/>
              <w:trPr>
                <w:cantSplit/>
                <w:trHeight w:val="487"/>
              </w:trPr>
              <w:tc>
                <w:tcPr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19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</w:t>
                  </w:r>
                  <w:r>
                    <w:rPr>
                      <w:rFonts w:eastAsia="Calibri"/>
                      <w:sz w:val="20"/>
                      <w:vertAlign w:val="subscript"/>
                    </w:rPr>
                    <w:t xml:space="preserve">4</w:t>
                  </w:r>
                  <w:r>
                    <w:rPr>
                      <w:rFonts w:eastAsia="Calibri"/>
                      <w:sz w:val="20"/>
                    </w:rPr>
                    <w:t xml:space="preserve"> = 1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303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более 40 % НМЦ «без учета НДС», до 50 % НМЦ «без учета </w:t>
                  </w:r>
                  <w:r>
                    <w:rPr>
                      <w:rFonts w:eastAsia="Calibri"/>
                      <w:sz w:val="20"/>
                    </w:rPr>
                    <w:t xml:space="preserve">НДС» (включительно);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</w:tr>
            <w:tr>
              <w:tblPrEx/>
              <w:trPr>
                <w:cantSplit/>
                <w:trHeight w:val="487"/>
              </w:trPr>
              <w:tc>
                <w:tcPr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19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</w:t>
                  </w:r>
                  <w:r>
                    <w:rPr>
                      <w:rFonts w:eastAsia="Calibri"/>
                      <w:sz w:val="20"/>
                      <w:vertAlign w:val="subscript"/>
                    </w:rPr>
                    <w:t xml:space="preserve">4</w:t>
                  </w:r>
                  <w:r>
                    <w:rPr>
                      <w:rFonts w:eastAsia="Calibri"/>
                      <w:sz w:val="20"/>
                    </w:rPr>
                    <w:t xml:space="preserve"> = 2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303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более 50 % НМЦ «без учета НДС», до 60 % НМЦ «без учета НДС» (включительно);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</w:tr>
            <w:tr>
              <w:tblPrEx/>
              <w:trPr>
                <w:cantSplit/>
                <w:trHeight w:val="302"/>
              </w:trPr>
              <w:tc>
                <w:tcPr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19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</w:t>
                  </w:r>
                  <w:r>
                    <w:rPr>
                      <w:rFonts w:eastAsia="Calibri"/>
                      <w:sz w:val="20"/>
                      <w:vertAlign w:val="subscript"/>
                    </w:rPr>
                    <w:t xml:space="preserve">4 </w:t>
                  </w:r>
                  <w:r>
                    <w:rPr>
                      <w:rFonts w:eastAsia="Calibri"/>
                      <w:sz w:val="20"/>
                    </w:rPr>
                    <w:t xml:space="preserve">= 3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303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более 60 % НМЦ «без учета НДС», до 70 % НМЦ «без учета НДС» (включительно);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</w:tr>
            <w:tr>
              <w:tblPrEx/>
              <w:trPr>
                <w:cantSplit/>
                <w:trHeight w:val="302"/>
              </w:trPr>
              <w:tc>
                <w:tcPr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19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</w:t>
                  </w:r>
                  <w:r>
                    <w:rPr>
                      <w:rFonts w:eastAsia="Calibri"/>
                      <w:sz w:val="20"/>
                      <w:vertAlign w:val="subscript"/>
                    </w:rPr>
                    <w:t xml:space="preserve">4</w:t>
                  </w:r>
                  <w:r>
                    <w:rPr>
                      <w:rFonts w:eastAsia="Calibri"/>
                      <w:sz w:val="20"/>
                    </w:rPr>
                    <w:t xml:space="preserve"> = 4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303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более 70 % НМЦ «без учета НДС», до 80% НМЦ «без учета НДС» </w:t>
                  </w:r>
                  <w:r>
                    <w:rPr>
                      <w:rFonts w:eastAsia="Calibri"/>
                      <w:sz w:val="20"/>
                    </w:rPr>
                    <w:t xml:space="preserve">(включительно);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</w:tr>
            <w:tr>
              <w:tblPrEx/>
              <w:trPr>
                <w:cantSplit/>
                <w:trHeight w:val="245"/>
              </w:trPr>
              <w:tc>
                <w:tcPr>
                  <w:tcBorders>
                    <w:top w:val="single" w:color="000000" w:sz="4" w:space="0"/>
                    <w:right w:val="single" w:color="000000" w:sz="4" w:space="0"/>
                  </w:tcBorders>
                  <w:tcW w:w="819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</w:t>
                  </w:r>
                  <w:r>
                    <w:rPr>
                      <w:rFonts w:eastAsia="Calibri"/>
                      <w:sz w:val="20"/>
                      <w:vertAlign w:val="subscript"/>
                    </w:rPr>
                    <w:t xml:space="preserve">4 </w:t>
                  </w:r>
                  <w:r>
                    <w:rPr>
                      <w:rFonts w:eastAsia="Calibri"/>
                      <w:sz w:val="20"/>
                    </w:rPr>
                    <w:t xml:space="preserve">= 5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</w:tcBorders>
                  <w:tcW w:w="5303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более</w:t>
                  </w:r>
                  <w:r>
                    <w:rPr>
                      <w:rFonts w:eastAsia="Calibri"/>
                      <w:sz w:val="20"/>
                    </w:rPr>
                    <w:t xml:space="preserve"> 80 % НМЦ «без учета НДС».</w:t>
                  </w:r>
                  <w:r>
                    <w:rPr>
                      <w:rFonts w:eastAsia="Calibri"/>
                      <w:sz w:val="20"/>
                    </w:rPr>
                  </w:r>
                  <w:r>
                    <w:rPr>
                      <w:rFonts w:eastAsia="Calibri"/>
                      <w:sz w:val="20"/>
                    </w:rPr>
                  </w:r>
                </w:p>
              </w:tc>
            </w:tr>
          </w:tbl>
          <w:p>
            <w:pPr>
              <w:pStyle w:val="776"/>
              <w:numPr>
                <w:ilvl w:val="0"/>
                <w:numId w:val="0"/>
              </w:numPr>
              <w:jc w:val="left"/>
              <w:spacing w:before="0" w:after="0" w:line="240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t xml:space="preserve">где: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</w:r>
          </w:p>
          <w:p>
            <w:pPr>
              <w:pStyle w:val="776"/>
              <w:numPr>
                <w:ilvl w:val="0"/>
                <w:numId w:val="0"/>
              </w:numPr>
              <w:jc w:val="left"/>
              <w:spacing w:before="0" w:after="0" w:line="240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t xml:space="preserve">НМЦ–начальная (максимальная) цена договора (лота), установленная в документации о закупке;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</w:r>
          </w:p>
          <w:p>
            <w:pPr>
              <w:pStyle w:val="776"/>
              <w:numPr>
                <w:ilvl w:val="0"/>
                <w:numId w:val="0"/>
              </w:numPr>
              <w:jc w:val="left"/>
              <w:spacing w:before="0" w:after="0" w:line="240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Б</w:t>
            </w:r>
            <w:r>
              <w:rPr>
                <w:sz w:val="20"/>
                <w:szCs w:val="20"/>
                <w:vertAlign w:val="subscript"/>
                <w:lang w:eastAsia="ru-RU"/>
              </w:rPr>
              <w:t xml:space="preserve">4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t xml:space="preserve">–рассчитанная оценка предпочтительности по данному частному критерию оценки в баллах.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</w:r>
          </w:p>
          <w:p>
            <w:pPr>
              <w:pStyle w:val="776"/>
              <w:numPr>
                <w:ilvl w:val="0"/>
                <w:numId w:val="0"/>
              </w:numPr>
              <w:jc w:val="left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Опыт, </w:t>
            </w:r>
            <w:r>
              <w:rPr>
                <w:sz w:val="20"/>
                <w:szCs w:val="20"/>
                <w:lang w:eastAsia="ru-RU"/>
              </w:rPr>
              <w:t xml:space="preserve">несоответствующий установленным в документации о закупке требованиям (</w:t>
            </w:r>
            <w:r>
              <w:rPr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требуемый в соответствии ТТ - Приложения №1___к техническим требованиям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t xml:space="preserve">)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, не оценивается</w:t>
            </w:r>
            <w:r>
              <w:rPr>
                <w:sz w:val="20"/>
                <w:szCs w:val="20"/>
                <w:lang w:eastAsia="ru-RU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776"/>
              <w:numPr>
                <w:ilvl w:val="0"/>
                <w:numId w:val="0"/>
              </w:numPr>
              <w:jc w:val="left"/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С</w:t>
            </w:r>
            <w:r>
              <w:rPr>
                <w:sz w:val="20"/>
                <w:szCs w:val="20"/>
              </w:rPr>
              <w:t xml:space="preserve">ведения, не позволяющие явно/однозначно определить наличие требуемого опыта у Участника, не оце</w:t>
            </w:r>
            <w:r>
              <w:rPr>
                <w:sz w:val="20"/>
                <w:szCs w:val="20"/>
              </w:rPr>
              <w:t xml:space="preserve">ниваются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776"/>
              <w:numPr>
                <w:ilvl w:val="0"/>
                <w:numId w:val="0"/>
              </w:numPr>
              <w:jc w:val="left"/>
              <w:spacing w:before="0" w:after="0" w:line="240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t xml:space="preserve">Шкала оценок от 0 до 5 баллов.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1" w:type="dxa"/>
            <w:textDirection w:val="lrTb"/>
            <w:noWrap w:val="false"/>
          </w:tcPr>
          <w:p>
            <w:pPr>
              <w:ind w:firstLine="0"/>
              <w:jc w:val="left"/>
              <w:spacing w:before="40" w:after="4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Итоговая оценка предпочтительности заявки: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Расчет итоговой оценки предпочтительности </w:t>
            </w:r>
            <w:r>
              <w:rPr>
                <w:rFonts w:eastAsia="Calibri"/>
                <w:i/>
                <w:sz w:val="18"/>
                <w:szCs w:val="18"/>
                <w:lang w:val="en-US"/>
              </w:rPr>
              <w:t xml:space="preserve">i</w:t>
            </w:r>
            <w:r>
              <w:rPr>
                <w:rFonts w:eastAsia="Calibri"/>
                <w:sz w:val="18"/>
                <w:szCs w:val="18"/>
              </w:rPr>
              <w:t xml:space="preserve">-ой заявки: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jc w:val="center"/>
              <w:spacing w:line="240" w:lineRule="auto"/>
              <w:rPr>
                <w:rFonts w:eastAsia="Calibri"/>
                <w:sz w:val="18"/>
                <w:szCs w:val="18"/>
              </w:rPr>
            </w:pPr>
            <w:r/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rPr/>
                      <m:t>Б</m:t>
                    </m:r>
                  </m:e>
                  <m:sub>
                    <m:r>
                      <w:rPr>
                        <w:rFonts w:ascii="Cambria Math" w:hAnsi="Cambria Math"/>
                      </w:rPr>
                      <m:rPr/>
                      <m:t>ИТОГ</m:t>
                    </m:r>
                  </m:sub>
                </m:sSub>
                <m:r>
                  <w:rPr>
                    <w:rFonts w:ascii="Cambria Math" w:hAnsi="Cambria Math"/>
                  </w:rPr>
                  <m:rPr/>
                  <m:t>=</m:t>
                </m:r>
                <m:nary>
                  <m:naryPr>
                    <m:chr m:val="∑"/>
                    <m:grow m:val="off"/>
                    <m:subHide m:val="on"/>
                    <m:supHide m:val="on"/>
                    <m:ctrlPr>
                      <w:rPr>
                        <w:rFonts w:ascii="Cambria Math" w:hAnsi="Cambria Math"/>
                      </w:rPr>
                    </m:ctrlPr>
                  </m:naryPr>
                  <m:sub/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rPr/>
                              <m:t>Б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rPr/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rPr/>
                                  <m:t>уровень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rPr/>
                                  <m:t>k</m:t>
                                </m:r>
                              </m:sub>
                            </m:sSub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rPr/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rPr/>
                              <m:t>В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rPr/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rPr/>
                                  <m:t>уровнь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rPr/>
                                  <m:t>k</m:t>
                                </m:r>
                              </m:sub>
                            </m:sSub>
                          </m:sub>
                        </m:sSub>
                      </m:e>
                    </m:d>
                  </m:e>
                </m:nary>
                <m:r>
                  <w:rPr>
                    <w:rFonts w:ascii="Cambria Math" w:hAnsi="Cambria Math"/>
                  </w:rPr>
                  <m:rPr/>
                  <m:t>,</m:t>
                </m:r>
              </m:oMath>
            </m:oMathPara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где: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numPr>
                <w:ilvl w:val="6"/>
                <w:numId w:val="11"/>
              </w:numPr>
              <w:jc w:val="left"/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Б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ИТОГ</w:t>
            </w:r>
            <w:r>
              <w:rPr>
                <w:rFonts w:eastAsia="Calibri"/>
                <w:sz w:val="18"/>
                <w:szCs w:val="18"/>
              </w:rPr>
              <w:tab/>
              <w:t xml:space="preserve">–</w:t>
            </w:r>
            <w:r>
              <w:rPr>
                <w:rFonts w:eastAsia="Calibri"/>
                <w:sz w:val="18"/>
                <w:szCs w:val="18"/>
              </w:rPr>
              <w:tab/>
              <w:t xml:space="preserve">рассчитанная итоговая оценка предпочтительности в баллах по </w:t>
            </w:r>
            <w:r>
              <w:rPr>
                <w:rFonts w:eastAsia="Calibri"/>
                <w:sz w:val="18"/>
                <w:szCs w:val="18"/>
              </w:rPr>
              <w:t xml:space="preserve">установленной в документации о закупке шкале оценок;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numPr>
                <w:ilvl w:val="6"/>
                <w:numId w:val="12"/>
              </w:numPr>
              <w:jc w:val="left"/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Б</w:t>
            </w:r>
            <w:r>
              <w:rPr>
                <w:rFonts w:eastAsia="Calibri"/>
                <w:sz w:val="18"/>
                <w:szCs w:val="18"/>
                <w:vertAlign w:val="subscript"/>
                <w:lang w:val="en-US"/>
              </w:rPr>
              <w:t xml:space="preserve">i</w:t>
            </w:r>
            <w:r>
              <w:rPr>
                <w:rFonts w:eastAsia="Calibri"/>
                <w:sz w:val="18"/>
                <w:szCs w:val="18"/>
                <w:vertAlign w:val="subscript"/>
                <w:lang w:val="en-US"/>
              </w:rPr>
              <w:t xml:space="preserve"> 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уровень </w:t>
            </w:r>
            <w:r>
              <w:rPr>
                <w:rFonts w:eastAsia="Calibri"/>
                <w:sz w:val="18"/>
                <w:szCs w:val="18"/>
                <w:vertAlign w:val="subscript"/>
                <w:lang w:val="en-US"/>
              </w:rPr>
              <w:t xml:space="preserve">k</w:t>
            </w:r>
            <w:r>
              <w:rPr>
                <w:rFonts w:eastAsia="Calibri"/>
                <w:sz w:val="18"/>
                <w:szCs w:val="18"/>
              </w:rPr>
              <w:tab/>
              <w:t xml:space="preserve">–</w:t>
            </w:r>
            <w:r>
              <w:rPr>
                <w:rFonts w:eastAsia="Calibri"/>
                <w:sz w:val="18"/>
                <w:szCs w:val="18"/>
              </w:rPr>
              <w:tab/>
              <w:t xml:space="preserve">оценка предпочтительности по 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k</w:t>
            </w:r>
            <w:r>
              <w:rPr>
                <w:rFonts w:eastAsia="Calibri"/>
                <w:sz w:val="18"/>
                <w:szCs w:val="18"/>
              </w:rPr>
              <w:t xml:space="preserve">-тому критерию оценки первого уровня в баллах;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i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 уровень </w:t>
            </w:r>
            <w:r>
              <w:rPr>
                <w:rFonts w:eastAsia="Calibri"/>
                <w:sz w:val="18"/>
                <w:szCs w:val="18"/>
                <w:vertAlign w:val="subscript"/>
                <w:lang w:val="en-US"/>
              </w:rPr>
              <w:t xml:space="preserve">k</w:t>
            </w:r>
            <w:r>
              <w:rPr>
                <w:rFonts w:eastAsia="Calibri"/>
                <w:sz w:val="18"/>
                <w:szCs w:val="18"/>
              </w:rPr>
              <w:tab/>
              <w:t xml:space="preserve">–</w:t>
            </w:r>
            <w:r>
              <w:rPr>
                <w:rFonts w:eastAsia="Calibri"/>
                <w:sz w:val="18"/>
                <w:szCs w:val="18"/>
              </w:rPr>
              <w:tab/>
              <w:t xml:space="preserve">значимость 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k</w:t>
            </w:r>
            <w:r>
              <w:rPr>
                <w:rFonts w:eastAsia="Calibri"/>
                <w:sz w:val="18"/>
                <w:szCs w:val="18"/>
              </w:rPr>
              <w:t xml:space="preserve">-ого критерия оценки первого уровня, выраженная в диапазоне от 0,01 до 1,00 – вес      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k</w:t>
            </w:r>
            <w:r>
              <w:rPr>
                <w:rFonts w:eastAsia="Calibri"/>
                <w:sz w:val="18"/>
                <w:szCs w:val="18"/>
              </w:rPr>
              <w:t xml:space="preserve">-ого критерия оценки первого уровня.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ind w:firstLine="0"/>
              <w:spacing w:line="240" w:lineRule="auto"/>
              <w:rPr>
                <w:rFonts w:eastAsia="Calibri"/>
                <w:sz w:val="20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Расчет значений баллов по частным / обобщенным критериям оценки, а также итогового балла (итоговой оценки предпочтительности) производится до четвертого знака после запятой (в соответствии с математическими правилами ок</w:t>
            </w:r>
            <w:r>
              <w:rPr>
                <w:rFonts w:eastAsia="Calibri"/>
                <w:i/>
                <w:sz w:val="18"/>
                <w:szCs w:val="18"/>
              </w:rPr>
              <w:t xml:space="preserve">ругления).</w:t>
            </w:r>
            <w:r>
              <w:rPr>
                <w:rFonts w:eastAsia="Calibri"/>
                <w:sz w:val="20"/>
              </w:rPr>
            </w:r>
            <w:r>
              <w:rPr>
                <w:rFonts w:eastAsia="Calibri"/>
                <w:sz w:val="20"/>
              </w:rPr>
            </w:r>
          </w:p>
        </w:tc>
      </w:tr>
    </w:tbl>
    <w:p>
      <w:pPr>
        <w:ind w:firstLine="0"/>
        <w:jc w:val="left"/>
        <w:spacing w:after="160" w:line="259" w:lineRule="auto"/>
        <w:rPr>
          <w:sz w:val="24"/>
          <w:szCs w:val="18"/>
        </w:rPr>
      </w:pPr>
      <w:r>
        <w:rPr>
          <w:sz w:val="24"/>
          <w:szCs w:val="18"/>
        </w:rPr>
      </w:r>
      <w:r>
        <w:rPr>
          <w:sz w:val="24"/>
          <w:szCs w:val="18"/>
        </w:rPr>
      </w:r>
      <w:r>
        <w:rPr>
          <w:sz w:val="24"/>
          <w:szCs w:val="18"/>
        </w:rPr>
      </w:r>
    </w:p>
    <w:sectPr>
      <w:footnotePr/>
      <w:endnotePr/>
      <w:type w:val="nextPage"/>
      <w:pgSz w:w="16838" w:h="11906" w:orient="landscape"/>
      <w:pgMar w:top="1418" w:right="1134" w:bottom="1418" w:left="1134" w:header="0" w:footer="0" w:gutter="0"/>
      <w:cols w:num="1" w:sep="0" w:space="720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тепень Константин Маркович" w:date="2025-09-15T09:34:00Z" w:initials="СКМ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Убрать пункт, т.к. он относится к 5 баллам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3E6A60E" w16cex:dateUtc="2025-09-14T23:34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3E6A60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neva">
    <w:panose1 w:val="02000603000000000000"/>
  </w:font>
  <w:font w:name="Times New Roman CYR">
    <w:panose1 w:val="02020603050405020304"/>
  </w:font>
  <w:font w:name="Cambria Math">
    <w:panose1 w:val="020408030504060302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Lohit Devanagari">
    <w:panose1 w:val="020B06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sz w:val="12"/>
        </w:rPr>
      </w:pPr>
      <w:r>
        <w:separator/>
      </w:r>
      <w:r>
        <w:rPr>
          <w:sz w:val="12"/>
        </w:rPr>
      </w:r>
      <w:r>
        <w:rPr>
          <w:sz w:val="12"/>
        </w:rPr>
      </w:r>
    </w:p>
  </w:footnote>
  <w:footnote w:type="continuationSeparator" w:id="0">
    <w:p>
      <w:pPr>
        <w:rPr>
          <w:sz w:val="12"/>
        </w:rPr>
      </w:pPr>
      <w:r>
        <w:continuationSeparator/>
      </w:r>
      <w:r>
        <w:rPr>
          <w:sz w:val="12"/>
        </w:rPr>
      </w:r>
      <w:r>
        <w:rPr>
          <w:sz w:val="12"/>
        </w:rPr>
      </w:r>
    </w:p>
  </w:footnote>
  <w:footnote w:id="2">
    <w:p>
      <w:pPr>
        <w:pStyle w:val="761"/>
      </w:pPr>
      <w:r>
        <w:rPr>
          <w:rStyle w:val="736"/>
        </w:rPr>
        <w:footnoteRef/>
      </w:r>
      <w:r>
        <w:t xml:space="preserve"> В Положении об аккредитации используется термин «Заявитель».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</w:lvl>
    <w:lvl w:ilvl="3">
      <w:start w:val="1"/>
      <w:numFmt w:val="russianLower"/>
      <w:pStyle w:val="774"/>
      <w:isLgl w:val="false"/>
      <w:suff w:val="tab"/>
      <w:lvlText w:val="(%4)"/>
      <w:lvlJc w:val="left"/>
      <w:pPr>
        <w:ind w:left="1701" w:hanging="567"/>
        <w:tabs>
          <w:tab w:val="num" w:pos="0" w:leader="none"/>
        </w:tabs>
      </w:pPr>
    </w:lvl>
    <w:lvl w:ilvl="4">
      <w:start w:val="1"/>
      <w:numFmt w:val="bullet"/>
      <w:pStyle w:val="775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pStyle w:val="778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  <w:lvl w:ilvl="6">
      <w:start w:val="1"/>
      <w:numFmt w:val="none"/>
      <w:pStyle w:val="776"/>
      <w:isLgl w:val="false"/>
      <w:suff w:val="nothing"/>
      <w:lvlText w:val=""/>
      <w:lvlJc w:val="left"/>
      <w:pPr>
        <w:ind w:left="1701" w:firstLine="0"/>
        <w:tabs>
          <w:tab w:val="num" w:pos="0" w:leader="none"/>
        </w:tabs>
      </w:pPr>
    </w:lvl>
    <w:lvl w:ilvl="7">
      <w:start w:val="1"/>
      <w:numFmt w:val="none"/>
      <w:pStyle w:val="77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  <w:tabs>
          <w:tab w:val="num" w:pos="0" w:leader="none"/>
        </w:tabs>
      </w:p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701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  <w:tabs>
          <w:tab w:val="num" w:pos="0" w:leader="none"/>
        </w:tabs>
      </w:p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701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36" w:hanging="360"/>
        <w:tabs>
          <w:tab w:val="num" w:pos="0" w:leader="none"/>
        </w:tabs>
      </w:pPr>
      <w:rPr>
        <w:rFonts w:hint="default" w:ascii="Calibri" w:hAnsi="Calibri" w:cs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7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  <w:rPr>
        <w:rFonts w:cs="Times New Roman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  <w:tabs>
          <w:tab w:val="num" w:pos="0" w:leader="none"/>
        </w:tabs>
      </w:pPr>
      <w:rPr>
        <w:rFonts w:cs="Times New Roman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  <w:rPr>
        <w:rFonts w:cs="Times New Roman"/>
      </w:rPr>
    </w:lvl>
    <w:lvl w:ilvl="6">
      <w:start w:val="1"/>
      <w:numFmt w:val="none"/>
      <w:isLgl w:val="false"/>
      <w:suff w:val="nothing"/>
      <w:lvlText w:val=""/>
      <w:lvlJc w:val="left"/>
      <w:pPr>
        <w:ind w:left="1701" w:firstLine="0"/>
        <w:tabs>
          <w:tab w:val="num" w:pos="0" w:leader="none"/>
        </w:tabs>
      </w:pPr>
      <w:rPr>
        <w:rFonts w:cs="Times New Roman"/>
      </w:r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  <w:rPr>
        <w:rFonts w:cs="Times New Roman"/>
      </w:rPr>
    </w:lvl>
    <w:lvl w:ilvl="8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  <w:rPr>
        <w:rFonts w:cs="Times New Roman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  <w:tabs>
          <w:tab w:val="num" w:pos="0" w:leader="none"/>
        </w:tabs>
      </w:pPr>
      <w:rPr>
        <w:rFonts w:cs="Times New Roman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  <w:rPr>
        <w:rFonts w:cs="Times New Roman"/>
      </w:rPr>
    </w:lvl>
    <w:lvl w:ilvl="6">
      <w:start w:val="1"/>
      <w:numFmt w:val="none"/>
      <w:isLgl w:val="false"/>
      <w:suff w:val="nothing"/>
      <w:lvlText w:val=""/>
      <w:lvlJc w:val="left"/>
      <w:pPr>
        <w:ind w:left="1701" w:firstLine="0"/>
        <w:tabs>
          <w:tab w:val="num" w:pos="0" w:leader="none"/>
        </w:tabs>
      </w:pPr>
      <w:rPr>
        <w:rFonts w:cs="Times New Roman"/>
      </w:r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  <w:rPr>
        <w:rFonts w:cs="Times New Roman"/>
      </w:rPr>
    </w:lvl>
    <w:lvl w:ilvl="8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pStyle w:val="781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  <w:rPr>
        <w:b w:val="0"/>
      </w:rPr>
    </w:lvl>
    <w:lvl w:ilvl="1">
      <w:start w:val="1"/>
      <w:numFmt w:val="decimal"/>
      <w:pStyle w:val="782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</w:lvl>
    <w:lvl w:ilvl="2">
      <w:start w:val="1"/>
      <w:numFmt w:val="decimal"/>
      <w:pStyle w:val="783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  <w:tabs>
          <w:tab w:val="num" w:pos="0" w:leader="none"/>
        </w:tabs>
      </w:p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pStyle w:val="784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  <w:rPr>
        <w:rFonts w:cs="Times New Roman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  <w:tabs>
          <w:tab w:val="num" w:pos="0" w:leader="none"/>
        </w:tabs>
      </w:pPr>
      <w:rPr>
        <w:rFonts w:cs="Times New Roman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  <w:rPr>
        <w:rFonts w:cs="Times New Roman"/>
      </w:rPr>
    </w:lvl>
    <w:lvl w:ilvl="6">
      <w:start w:val="1"/>
      <w:numFmt w:val="none"/>
      <w:isLgl w:val="false"/>
      <w:suff w:val="nothing"/>
      <w:lvlText w:val=""/>
      <w:lvlJc w:val="left"/>
      <w:pPr>
        <w:ind w:left="1701" w:firstLine="0"/>
        <w:tabs>
          <w:tab w:val="num" w:pos="0" w:leader="none"/>
        </w:tabs>
      </w:pPr>
      <w:rPr>
        <w:rFonts w:cs="Times New Roman"/>
      </w:r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  <w:rPr>
        <w:rFonts w:cs="Times New Roman"/>
      </w:rPr>
    </w:lvl>
    <w:lvl w:ilvl="8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sz w:val="28"/>
        <w:szCs w:val="28"/>
      </w:rPr>
    </w:lvl>
    <w:lvl w:ilvl="2">
      <w:start w:val="1"/>
      <w:numFmt w:val="decimal"/>
      <w:pStyle w:val="787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4."/>
      <w:lvlJc w:val="left"/>
      <w:pPr>
        <w:ind w:left="1134" w:hanging="1134"/>
        <w:tabs>
          <w:tab w:val="num" w:pos="1134" w:leader="none"/>
        </w:tabs>
      </w:pPr>
      <w:rPr>
        <w:rFonts w:ascii="Times New Roman" w:hAnsi="Times New Roman" w:eastAsia="Times New Roman" w:cs="Times New Roman"/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  <w:rPr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епень Константин Маркович">
    <w15:presenceInfo w15:providerId="Teamlab" w15:userId="Степень Константин Марк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 w:default="1">
    <w:name w:val="Normal"/>
    <w:qFormat/>
    <w:pPr>
      <w:ind w:firstLine="567"/>
      <w:jc w:val="both"/>
      <w:spacing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89">
    <w:name w:val="Heading 1"/>
    <w:basedOn w:val="688"/>
    <w:next w:val="688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0">
    <w:name w:val="Heading 2"/>
    <w:basedOn w:val="688"/>
    <w:next w:val="688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1">
    <w:name w:val="Heading 3"/>
    <w:basedOn w:val="688"/>
    <w:next w:val="688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2">
    <w:name w:val="Heading 4"/>
    <w:basedOn w:val="688"/>
    <w:next w:val="688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688"/>
    <w:next w:val="688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688"/>
    <w:next w:val="688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688"/>
    <w:next w:val="688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688"/>
    <w:next w:val="688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688"/>
    <w:next w:val="688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character" w:styleId="701" w:customStyle="1">
    <w:name w:val="Heading 1 Char"/>
    <w:basedOn w:val="698"/>
    <w:uiPriority w:val="9"/>
    <w:qFormat/>
    <w:rPr>
      <w:rFonts w:ascii="Arial" w:hAnsi="Arial" w:eastAsia="Arial" w:cs="Arial"/>
      <w:sz w:val="40"/>
      <w:szCs w:val="40"/>
    </w:rPr>
  </w:style>
  <w:style w:type="character" w:styleId="702" w:customStyle="1">
    <w:name w:val="Heading 2 Char"/>
    <w:basedOn w:val="698"/>
    <w:uiPriority w:val="9"/>
    <w:qFormat/>
    <w:rPr>
      <w:rFonts w:ascii="Arial" w:hAnsi="Arial" w:eastAsia="Arial" w:cs="Arial"/>
      <w:sz w:val="34"/>
    </w:rPr>
  </w:style>
  <w:style w:type="character" w:styleId="703" w:customStyle="1">
    <w:name w:val="Heading 3 Char"/>
    <w:basedOn w:val="698"/>
    <w:uiPriority w:val="9"/>
    <w:qFormat/>
    <w:rPr>
      <w:rFonts w:ascii="Arial" w:hAnsi="Arial" w:eastAsia="Arial" w:cs="Arial"/>
      <w:sz w:val="30"/>
      <w:szCs w:val="30"/>
    </w:rPr>
  </w:style>
  <w:style w:type="character" w:styleId="704" w:customStyle="1">
    <w:name w:val="Heading 4 Char"/>
    <w:basedOn w:val="69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5 Char"/>
    <w:basedOn w:val="69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Heading 6 Char"/>
    <w:basedOn w:val="69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Heading 7 Char"/>
    <w:basedOn w:val="69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8 Char"/>
    <w:basedOn w:val="69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9 Char"/>
    <w:basedOn w:val="69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Title Char"/>
    <w:basedOn w:val="698"/>
    <w:uiPriority w:val="10"/>
    <w:qFormat/>
    <w:rPr>
      <w:sz w:val="48"/>
      <w:szCs w:val="48"/>
    </w:rPr>
  </w:style>
  <w:style w:type="character" w:styleId="711" w:customStyle="1">
    <w:name w:val="Subtitle Char"/>
    <w:basedOn w:val="698"/>
    <w:uiPriority w:val="11"/>
    <w:qFormat/>
    <w:rPr>
      <w:sz w:val="24"/>
      <w:szCs w:val="24"/>
    </w:rPr>
  </w:style>
  <w:style w:type="character" w:styleId="712" w:customStyle="1">
    <w:name w:val="Quote Char"/>
    <w:uiPriority w:val="29"/>
    <w:qFormat/>
    <w:rPr>
      <w:i/>
    </w:rPr>
  </w:style>
  <w:style w:type="character" w:styleId="713" w:customStyle="1">
    <w:name w:val="Intense Quote Char"/>
    <w:uiPriority w:val="30"/>
    <w:qFormat/>
    <w:rPr>
      <w:i/>
    </w:rPr>
  </w:style>
  <w:style w:type="character" w:styleId="714" w:customStyle="1">
    <w:name w:val="Header Char"/>
    <w:basedOn w:val="698"/>
    <w:uiPriority w:val="99"/>
    <w:qFormat/>
  </w:style>
  <w:style w:type="character" w:styleId="715" w:customStyle="1">
    <w:name w:val="Caption Char"/>
    <w:uiPriority w:val="99"/>
    <w:qFormat/>
  </w:style>
  <w:style w:type="character" w:styleId="716" w:customStyle="1">
    <w:name w:val="Footnote Text Char"/>
    <w:uiPriority w:val="99"/>
    <w:qFormat/>
    <w:rPr>
      <w:sz w:val="18"/>
    </w:rPr>
  </w:style>
  <w:style w:type="character" w:styleId="717" w:customStyle="1">
    <w:name w:val="Endnote Text Char"/>
    <w:uiPriority w:val="99"/>
    <w:qFormat/>
    <w:rPr>
      <w:sz w:val="20"/>
    </w:rPr>
  </w:style>
  <w:style w:type="character" w:styleId="718" w:customStyle="1">
    <w:name w:val="Заголовок 1 Знак"/>
    <w:basedOn w:val="698"/>
    <w:link w:val="689"/>
    <w:uiPriority w:val="9"/>
    <w:qFormat/>
    <w:rPr>
      <w:rFonts w:ascii="Arial" w:hAnsi="Arial" w:eastAsia="Arial" w:cs="Arial"/>
      <w:sz w:val="40"/>
      <w:szCs w:val="40"/>
    </w:rPr>
  </w:style>
  <w:style w:type="character" w:styleId="719" w:customStyle="1">
    <w:name w:val="Заголовок 2 Знак"/>
    <w:basedOn w:val="698"/>
    <w:link w:val="690"/>
    <w:uiPriority w:val="9"/>
    <w:qFormat/>
    <w:rPr>
      <w:rFonts w:ascii="Arial" w:hAnsi="Arial" w:eastAsia="Arial" w:cs="Arial"/>
      <w:sz w:val="34"/>
    </w:rPr>
  </w:style>
  <w:style w:type="character" w:styleId="720" w:customStyle="1">
    <w:name w:val="Заголовок 3 Знак"/>
    <w:basedOn w:val="698"/>
    <w:link w:val="691"/>
    <w:uiPriority w:val="9"/>
    <w:qFormat/>
    <w:rPr>
      <w:rFonts w:ascii="Arial" w:hAnsi="Arial" w:eastAsia="Arial" w:cs="Arial"/>
      <w:sz w:val="30"/>
      <w:szCs w:val="30"/>
    </w:rPr>
  </w:style>
  <w:style w:type="character" w:styleId="721" w:customStyle="1">
    <w:name w:val="Заголовок 4 Знак"/>
    <w:basedOn w:val="698"/>
    <w:link w:val="69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Заголовок 5 Знак"/>
    <w:basedOn w:val="698"/>
    <w:link w:val="69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Заголовок 6 Знак"/>
    <w:basedOn w:val="698"/>
    <w:link w:val="69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Заголовок 7 Знак"/>
    <w:basedOn w:val="698"/>
    <w:link w:val="69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Заголовок 8 Знак"/>
    <w:basedOn w:val="698"/>
    <w:link w:val="69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Заголовок 9 Знак"/>
    <w:basedOn w:val="698"/>
    <w:link w:val="69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27" w:customStyle="1">
    <w:name w:val="Заголовок Знак"/>
    <w:basedOn w:val="698"/>
    <w:link w:val="749"/>
    <w:uiPriority w:val="10"/>
    <w:qFormat/>
    <w:rPr>
      <w:sz w:val="48"/>
      <w:szCs w:val="48"/>
    </w:rPr>
  </w:style>
  <w:style w:type="character" w:styleId="728" w:customStyle="1">
    <w:name w:val="Подзаголовок Знак"/>
    <w:basedOn w:val="698"/>
    <w:link w:val="755"/>
    <w:uiPriority w:val="11"/>
    <w:qFormat/>
    <w:rPr>
      <w:sz w:val="24"/>
      <w:szCs w:val="24"/>
    </w:rPr>
  </w:style>
  <w:style w:type="character" w:styleId="729" w:customStyle="1">
    <w:name w:val="Цитата 2 Знак"/>
    <w:link w:val="756"/>
    <w:uiPriority w:val="29"/>
    <w:qFormat/>
    <w:rPr>
      <w:i/>
    </w:rPr>
  </w:style>
  <w:style w:type="character" w:styleId="730" w:customStyle="1">
    <w:name w:val="Выделенная цитата Знак"/>
    <w:link w:val="757"/>
    <w:uiPriority w:val="30"/>
    <w:qFormat/>
    <w:rPr>
      <w:i/>
    </w:rPr>
  </w:style>
  <w:style w:type="character" w:styleId="731" w:customStyle="1">
    <w:name w:val="Верхний колонтитул Знак"/>
    <w:basedOn w:val="698"/>
    <w:link w:val="759"/>
    <w:uiPriority w:val="99"/>
    <w:qFormat/>
  </w:style>
  <w:style w:type="character" w:styleId="732" w:customStyle="1">
    <w:name w:val="Footer Char"/>
    <w:basedOn w:val="698"/>
    <w:uiPriority w:val="99"/>
    <w:qFormat/>
  </w:style>
  <w:style w:type="character" w:styleId="733" w:customStyle="1">
    <w:name w:val="Нижний колонтитул Знак"/>
    <w:link w:val="760"/>
    <w:uiPriority w:val="99"/>
    <w:qFormat/>
  </w:style>
  <w:style w:type="character" w:styleId="734">
    <w:name w:val="Hyperlink"/>
    <w:uiPriority w:val="99"/>
    <w:unhideWhenUsed/>
    <w:rPr>
      <w:color w:val="0563c1" w:themeColor="hyperlink"/>
      <w:u w:val="single"/>
    </w:rPr>
  </w:style>
  <w:style w:type="character" w:styleId="735" w:customStyle="1">
    <w:name w:val="Текст сноски Знак"/>
    <w:link w:val="761"/>
    <w:uiPriority w:val="99"/>
    <w:qFormat/>
    <w:rPr>
      <w:sz w:val="18"/>
    </w:rPr>
  </w:style>
  <w:style w:type="character" w:styleId="736" w:customStyle="1">
    <w:name w:val="Символ сноски"/>
    <w:uiPriority w:val="99"/>
    <w:unhideWhenUsed/>
    <w:qFormat/>
    <w:rPr>
      <w:vertAlign w:val="superscript"/>
    </w:rPr>
  </w:style>
  <w:style w:type="character" w:styleId="737">
    <w:name w:val="footnote reference"/>
    <w:rPr>
      <w:vertAlign w:val="superscript"/>
    </w:rPr>
  </w:style>
  <w:style w:type="character" w:styleId="738" w:customStyle="1">
    <w:name w:val="Текст концевой сноски Знак"/>
    <w:link w:val="762"/>
    <w:uiPriority w:val="99"/>
    <w:qFormat/>
    <w:rPr>
      <w:sz w:val="20"/>
    </w:rPr>
  </w:style>
  <w:style w:type="character" w:styleId="739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40">
    <w:name w:val="endnote reference"/>
    <w:rPr>
      <w:vertAlign w:val="superscript"/>
    </w:rPr>
  </w:style>
  <w:style w:type="character" w:styleId="741" w:customStyle="1">
    <w:name w:val="УРОВЕНЬ_- Знак"/>
    <w:basedOn w:val="698"/>
    <w:link w:val="775"/>
    <w:qFormat/>
    <w:rPr>
      <w:rFonts w:ascii="Times New Roman" w:hAnsi="Times New Roman" w:cs="Times New Roman"/>
      <w:sz w:val="26"/>
      <w:szCs w:val="28"/>
    </w:rPr>
  </w:style>
  <w:style w:type="character" w:styleId="742" w:customStyle="1">
    <w:name w:val="УРОВЕНЬ_Абзац_тип2 Знак"/>
    <w:basedOn w:val="698"/>
    <w:link w:val="776"/>
    <w:qFormat/>
    <w:rPr>
      <w:rFonts w:ascii="Times New Roman" w:hAnsi="Times New Roman" w:cs="Times New Roman"/>
      <w:sz w:val="26"/>
      <w:szCs w:val="28"/>
    </w:rPr>
  </w:style>
  <w:style w:type="character" w:styleId="743" w:customStyle="1">
    <w:name w:val="УРОВЕНЬ_Абзац_тип3 Знак"/>
    <w:basedOn w:val="698"/>
    <w:link w:val="777"/>
    <w:qFormat/>
    <w:rPr>
      <w:rFonts w:ascii="Times New Roman" w:hAnsi="Times New Roman" w:cs="Times New Roman"/>
      <w:sz w:val="26"/>
      <w:szCs w:val="28"/>
    </w:rPr>
  </w:style>
  <w:style w:type="character" w:styleId="744" w:customStyle="1">
    <w:name w:val="Текст выноски Знак"/>
    <w:basedOn w:val="698"/>
    <w:link w:val="780"/>
    <w:uiPriority w:val="99"/>
    <w:semiHidden/>
    <w:qFormat/>
    <w:rPr>
      <w:rFonts w:ascii="Segoe UI" w:hAnsi="Segoe UI" w:eastAsia="Times New Roman" w:cs="Segoe UI"/>
      <w:sz w:val="18"/>
      <w:szCs w:val="18"/>
      <w:lang w:eastAsia="ru-RU"/>
    </w:rPr>
  </w:style>
  <w:style w:type="character" w:styleId="745">
    <w:name w:val="annotation reference"/>
    <w:basedOn w:val="698"/>
    <w:uiPriority w:val="99"/>
    <w:semiHidden/>
    <w:unhideWhenUsed/>
    <w:qFormat/>
    <w:rPr>
      <w:sz w:val="16"/>
      <w:szCs w:val="16"/>
    </w:rPr>
  </w:style>
  <w:style w:type="character" w:styleId="746" w:customStyle="1">
    <w:name w:val="Текст примечания Знак"/>
    <w:basedOn w:val="698"/>
    <w:link w:val="785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47" w:customStyle="1">
    <w:name w:val="Тема примечания Знак"/>
    <w:basedOn w:val="746"/>
    <w:link w:val="786"/>
    <w:uiPriority w:val="99"/>
    <w:semiHidden/>
    <w:qFormat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748">
    <w:name w:val="line number"/>
  </w:style>
  <w:style w:type="paragraph" w:styleId="749">
    <w:name w:val="Title"/>
    <w:basedOn w:val="688"/>
    <w:next w:val="750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0">
    <w:name w:val="Body Text"/>
    <w:basedOn w:val="688"/>
    <w:pPr>
      <w:spacing w:after="140" w:line="276" w:lineRule="auto"/>
    </w:pPr>
  </w:style>
  <w:style w:type="paragraph" w:styleId="751">
    <w:name w:val="List"/>
    <w:basedOn w:val="750"/>
    <w:rPr>
      <w:rFonts w:cs="Lohit Devanagari"/>
    </w:rPr>
  </w:style>
  <w:style w:type="paragraph" w:styleId="752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53">
    <w:name w:val="index heading"/>
    <w:basedOn w:val="749"/>
  </w:style>
  <w:style w:type="paragraph" w:styleId="754">
    <w:name w:val="No Spacing"/>
    <w:uiPriority w:val="1"/>
    <w:qFormat/>
  </w:style>
  <w:style w:type="paragraph" w:styleId="755">
    <w:name w:val="Subtitle"/>
    <w:basedOn w:val="688"/>
    <w:next w:val="688"/>
    <w:link w:val="728"/>
    <w:uiPriority w:val="11"/>
    <w:qFormat/>
    <w:pPr>
      <w:spacing w:before="200" w:after="200"/>
    </w:pPr>
    <w:rPr>
      <w:sz w:val="24"/>
      <w:szCs w:val="24"/>
    </w:rPr>
  </w:style>
  <w:style w:type="paragraph" w:styleId="756">
    <w:name w:val="Quote"/>
    <w:basedOn w:val="688"/>
    <w:next w:val="688"/>
    <w:link w:val="729"/>
    <w:uiPriority w:val="29"/>
    <w:qFormat/>
    <w:pPr>
      <w:ind w:left="720" w:right="720"/>
    </w:pPr>
    <w:rPr>
      <w:i/>
    </w:rPr>
  </w:style>
  <w:style w:type="paragraph" w:styleId="757">
    <w:name w:val="Intense Quote"/>
    <w:basedOn w:val="688"/>
    <w:next w:val="688"/>
    <w:link w:val="73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58" w:customStyle="1">
    <w:name w:val="Колонтитул"/>
    <w:basedOn w:val="688"/>
    <w:qFormat/>
  </w:style>
  <w:style w:type="paragraph" w:styleId="759">
    <w:name w:val="Header"/>
    <w:basedOn w:val="688"/>
    <w:link w:val="731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paragraph" w:styleId="760">
    <w:name w:val="Footer"/>
    <w:basedOn w:val="688"/>
    <w:link w:val="733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paragraph" w:styleId="761">
    <w:name w:val="footnote text"/>
    <w:basedOn w:val="688"/>
    <w:link w:val="735"/>
    <w:uiPriority w:val="99"/>
    <w:semiHidden/>
    <w:unhideWhenUsed/>
    <w:pPr>
      <w:spacing w:after="40" w:line="240" w:lineRule="auto"/>
    </w:pPr>
    <w:rPr>
      <w:sz w:val="18"/>
    </w:rPr>
  </w:style>
  <w:style w:type="paragraph" w:styleId="762">
    <w:name w:val="endnote text"/>
    <w:basedOn w:val="688"/>
    <w:link w:val="738"/>
    <w:uiPriority w:val="99"/>
    <w:semiHidden/>
    <w:unhideWhenUsed/>
    <w:pPr>
      <w:spacing w:line="240" w:lineRule="auto"/>
    </w:pPr>
    <w:rPr>
      <w:sz w:val="20"/>
    </w:rPr>
  </w:style>
  <w:style w:type="paragraph" w:styleId="763">
    <w:name w:val="toc 1"/>
    <w:basedOn w:val="688"/>
    <w:next w:val="688"/>
    <w:uiPriority w:val="39"/>
    <w:unhideWhenUsed/>
    <w:pPr>
      <w:ind w:firstLine="0"/>
      <w:spacing w:after="57"/>
    </w:pPr>
  </w:style>
  <w:style w:type="paragraph" w:styleId="764">
    <w:name w:val="toc 2"/>
    <w:basedOn w:val="688"/>
    <w:next w:val="688"/>
    <w:uiPriority w:val="39"/>
    <w:unhideWhenUsed/>
    <w:pPr>
      <w:ind w:left="283" w:firstLine="0"/>
      <w:spacing w:after="57"/>
    </w:pPr>
  </w:style>
  <w:style w:type="paragraph" w:styleId="765">
    <w:name w:val="toc 3"/>
    <w:basedOn w:val="688"/>
    <w:next w:val="688"/>
    <w:uiPriority w:val="39"/>
    <w:unhideWhenUsed/>
    <w:pPr>
      <w:ind w:left="567" w:firstLine="0"/>
      <w:spacing w:after="57"/>
    </w:pPr>
  </w:style>
  <w:style w:type="paragraph" w:styleId="766">
    <w:name w:val="toc 4"/>
    <w:basedOn w:val="688"/>
    <w:next w:val="688"/>
    <w:uiPriority w:val="39"/>
    <w:unhideWhenUsed/>
    <w:pPr>
      <w:ind w:left="850" w:firstLine="0"/>
      <w:spacing w:after="57"/>
    </w:pPr>
  </w:style>
  <w:style w:type="paragraph" w:styleId="767">
    <w:name w:val="toc 5"/>
    <w:basedOn w:val="688"/>
    <w:next w:val="688"/>
    <w:uiPriority w:val="39"/>
    <w:unhideWhenUsed/>
    <w:pPr>
      <w:ind w:left="1134" w:firstLine="0"/>
      <w:spacing w:after="57"/>
    </w:pPr>
  </w:style>
  <w:style w:type="paragraph" w:styleId="768">
    <w:name w:val="toc 6"/>
    <w:basedOn w:val="688"/>
    <w:next w:val="688"/>
    <w:uiPriority w:val="39"/>
    <w:unhideWhenUsed/>
    <w:pPr>
      <w:ind w:left="1417" w:firstLine="0"/>
      <w:spacing w:after="57"/>
    </w:pPr>
  </w:style>
  <w:style w:type="paragraph" w:styleId="769">
    <w:name w:val="toc 7"/>
    <w:basedOn w:val="688"/>
    <w:next w:val="688"/>
    <w:uiPriority w:val="39"/>
    <w:unhideWhenUsed/>
    <w:pPr>
      <w:ind w:left="1701" w:firstLine="0"/>
      <w:spacing w:after="57"/>
    </w:pPr>
  </w:style>
  <w:style w:type="paragraph" w:styleId="770">
    <w:name w:val="toc 8"/>
    <w:basedOn w:val="688"/>
    <w:next w:val="688"/>
    <w:uiPriority w:val="39"/>
    <w:unhideWhenUsed/>
    <w:pPr>
      <w:ind w:left="1984" w:firstLine="0"/>
      <w:spacing w:after="57"/>
    </w:pPr>
  </w:style>
  <w:style w:type="paragraph" w:styleId="771">
    <w:name w:val="toc 9"/>
    <w:basedOn w:val="688"/>
    <w:next w:val="688"/>
    <w:uiPriority w:val="39"/>
    <w:unhideWhenUsed/>
    <w:pPr>
      <w:ind w:left="2268" w:firstLine="0"/>
      <w:spacing w:after="57"/>
    </w:pPr>
  </w:style>
  <w:style w:type="paragraph" w:styleId="772">
    <w:name w:val="TOC Heading"/>
    <w:uiPriority w:val="39"/>
    <w:unhideWhenUsed/>
    <w:qFormat/>
    <w:pPr>
      <w:spacing w:after="160" w:line="259" w:lineRule="auto"/>
    </w:pPr>
  </w:style>
  <w:style w:type="paragraph" w:styleId="773">
    <w:name w:val="table of figures"/>
    <w:basedOn w:val="688"/>
    <w:next w:val="688"/>
    <w:uiPriority w:val="99"/>
    <w:unhideWhenUsed/>
  </w:style>
  <w:style w:type="paragraph" w:styleId="774" w:customStyle="1">
    <w:name w:val="УРОВЕНЬ_(а)"/>
    <w:basedOn w:val="779"/>
    <w:qFormat/>
    <w:pPr>
      <w:numPr>
        <w:ilvl w:val="3"/>
        <w:numId w:val="1"/>
      </w:numPr>
      <w:contextualSpacing w:val="0"/>
      <w:ind w:left="720" w:firstLine="567"/>
      <w:spacing w:before="120" w:after="160" w:line="360" w:lineRule="exact"/>
      <w:tabs>
        <w:tab w:val="left" w:pos="360" w:leader="none"/>
      </w:tabs>
      <w:outlineLvl w:val="3"/>
    </w:pPr>
    <w:rPr>
      <w:rFonts w:eastAsiaTheme="minorHAnsi"/>
      <w:sz w:val="26"/>
      <w:szCs w:val="28"/>
      <w:lang w:eastAsia="en-US"/>
    </w:rPr>
  </w:style>
  <w:style w:type="paragraph" w:styleId="775" w:customStyle="1">
    <w:name w:val="УРОВЕНЬ_-"/>
    <w:basedOn w:val="779"/>
    <w:link w:val="741"/>
    <w:qFormat/>
    <w:pPr>
      <w:numPr>
        <w:ilvl w:val="4"/>
        <w:numId w:val="1"/>
      </w:numPr>
      <w:contextualSpacing w:val="0"/>
      <w:spacing w:before="120" w:after="160" w:line="360" w:lineRule="exact"/>
      <w:outlineLvl w:val="4"/>
    </w:pPr>
    <w:rPr>
      <w:rFonts w:eastAsiaTheme="minorHAnsi"/>
      <w:sz w:val="26"/>
      <w:szCs w:val="28"/>
      <w:lang w:eastAsia="en-US"/>
    </w:rPr>
  </w:style>
  <w:style w:type="paragraph" w:styleId="776" w:customStyle="1">
    <w:name w:val="УРОВЕНЬ_Абзац_тип2"/>
    <w:basedOn w:val="779"/>
    <w:link w:val="742"/>
    <w:qFormat/>
    <w:pPr>
      <w:numPr>
        <w:ilvl w:val="6"/>
        <w:numId w:val="1"/>
      </w:numPr>
      <w:contextualSpacing w:val="0"/>
      <w:spacing w:before="120" w:after="160" w:line="360" w:lineRule="exact"/>
    </w:pPr>
    <w:rPr>
      <w:rFonts w:eastAsiaTheme="minorHAnsi"/>
      <w:sz w:val="26"/>
      <w:szCs w:val="28"/>
      <w:lang w:eastAsia="en-US"/>
    </w:rPr>
  </w:style>
  <w:style w:type="paragraph" w:styleId="777" w:customStyle="1">
    <w:name w:val="УРОВЕНЬ_Абзац_тип3"/>
    <w:basedOn w:val="779"/>
    <w:link w:val="743"/>
    <w:qFormat/>
    <w:pPr>
      <w:numPr>
        <w:ilvl w:val="7"/>
        <w:numId w:val="1"/>
      </w:numPr>
      <w:contextualSpacing w:val="0"/>
      <w:spacing w:before="120" w:after="160" w:line="360" w:lineRule="exact"/>
    </w:pPr>
    <w:rPr>
      <w:rFonts w:eastAsiaTheme="minorHAnsi"/>
      <w:sz w:val="26"/>
      <w:szCs w:val="28"/>
      <w:lang w:eastAsia="en-US"/>
    </w:rPr>
  </w:style>
  <w:style w:type="paragraph" w:styleId="778" w:customStyle="1">
    <w:name w:val="УРОВЕНЬ_Подпись"/>
    <w:basedOn w:val="779"/>
    <w:qFormat/>
    <w:pPr>
      <w:numPr>
        <w:ilvl w:val="5"/>
        <w:numId w:val="1"/>
      </w:numPr>
      <w:contextualSpacing w:val="0"/>
      <w:ind w:left="720" w:firstLine="567"/>
      <w:jc w:val="right"/>
      <w:keepNext/>
      <w:spacing w:before="120" w:after="120" w:line="360" w:lineRule="exact"/>
      <w:tabs>
        <w:tab w:val="left" w:pos="360" w:leader="none"/>
      </w:tabs>
      <w:outlineLvl w:val="3"/>
    </w:pPr>
    <w:rPr>
      <w:rFonts w:eastAsiaTheme="minorHAnsi"/>
      <w:sz w:val="26"/>
      <w:szCs w:val="28"/>
      <w:lang w:eastAsia="en-US"/>
    </w:rPr>
  </w:style>
  <w:style w:type="paragraph" w:styleId="779">
    <w:name w:val="List Paragraph"/>
    <w:basedOn w:val="688"/>
    <w:uiPriority w:val="34"/>
    <w:qFormat/>
    <w:pPr>
      <w:contextualSpacing/>
      <w:ind w:left="720"/>
    </w:pPr>
  </w:style>
  <w:style w:type="paragraph" w:styleId="780">
    <w:name w:val="Balloon Text"/>
    <w:basedOn w:val="688"/>
    <w:link w:val="744"/>
    <w:uiPriority w:val="99"/>
    <w:semiHidden/>
    <w:unhideWhenUsed/>
    <w:qFormat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781" w:customStyle="1">
    <w:name w:val="УРОВЕНЬ_1."/>
    <w:basedOn w:val="779"/>
    <w:qFormat/>
    <w:pPr>
      <w:numPr>
        <w:ilvl w:val="0"/>
        <w:numId w:val="2"/>
      </w:numPr>
      <w:contextualSpacing w:val="0"/>
      <w:keepNext/>
      <w:spacing w:before="360" w:line="360" w:lineRule="exact"/>
      <w:outlineLvl w:val="0"/>
    </w:pPr>
    <w:rPr>
      <w:rFonts w:eastAsiaTheme="minorHAnsi"/>
      <w:b/>
      <w:caps/>
      <w:sz w:val="26"/>
      <w:szCs w:val="28"/>
      <w:lang w:eastAsia="en-US"/>
    </w:rPr>
  </w:style>
  <w:style w:type="paragraph" w:styleId="782" w:customStyle="1">
    <w:name w:val="УРОВЕНЬ_1.1."/>
    <w:basedOn w:val="779"/>
    <w:qFormat/>
    <w:pPr>
      <w:numPr>
        <w:ilvl w:val="1"/>
        <w:numId w:val="2"/>
      </w:numPr>
      <w:contextualSpacing w:val="0"/>
      <w:keepNext/>
      <w:spacing w:before="240" w:line="360" w:lineRule="exact"/>
      <w:outlineLvl w:val="1"/>
    </w:pPr>
    <w:rPr>
      <w:rFonts w:eastAsiaTheme="minorHAnsi"/>
      <w:b/>
      <w:sz w:val="26"/>
      <w:szCs w:val="28"/>
      <w:lang w:eastAsia="en-US"/>
    </w:rPr>
  </w:style>
  <w:style w:type="paragraph" w:styleId="783" w:customStyle="1">
    <w:name w:val="УРОВЕНЬ_1.1.1."/>
    <w:basedOn w:val="779"/>
    <w:qFormat/>
    <w:pPr>
      <w:numPr>
        <w:ilvl w:val="2"/>
        <w:numId w:val="2"/>
      </w:numPr>
      <w:contextualSpacing w:val="0"/>
      <w:spacing w:before="120" w:line="360" w:lineRule="exact"/>
      <w:outlineLvl w:val="2"/>
    </w:pPr>
    <w:rPr>
      <w:rFonts w:eastAsiaTheme="minorHAnsi"/>
      <w:sz w:val="26"/>
      <w:szCs w:val="28"/>
      <w:lang w:eastAsia="en-US"/>
    </w:rPr>
  </w:style>
  <w:style w:type="paragraph" w:styleId="784" w:customStyle="1">
    <w:name w:val="УРОВЕНЬ_Абзац_тип1"/>
    <w:basedOn w:val="779"/>
    <w:qFormat/>
    <w:pPr>
      <w:numPr>
        <w:ilvl w:val="5"/>
        <w:numId w:val="2"/>
      </w:numPr>
      <w:contextualSpacing w:val="0"/>
      <w:spacing w:before="120" w:line="360" w:lineRule="exact"/>
    </w:pPr>
    <w:rPr>
      <w:rFonts w:eastAsiaTheme="minorHAnsi"/>
      <w:sz w:val="26"/>
      <w:szCs w:val="28"/>
      <w:lang w:eastAsia="en-US"/>
    </w:rPr>
  </w:style>
  <w:style w:type="paragraph" w:styleId="785">
    <w:name w:val="annotation text"/>
    <w:basedOn w:val="688"/>
    <w:link w:val="746"/>
    <w:uiPriority w:val="99"/>
    <w:semiHidden/>
    <w:unhideWhenUsed/>
    <w:qFormat/>
    <w:pPr>
      <w:spacing w:line="240" w:lineRule="auto"/>
    </w:pPr>
    <w:rPr>
      <w:sz w:val="20"/>
    </w:rPr>
  </w:style>
  <w:style w:type="paragraph" w:styleId="786">
    <w:name w:val="annotation subject"/>
    <w:basedOn w:val="785"/>
    <w:next w:val="785"/>
    <w:link w:val="747"/>
    <w:uiPriority w:val="99"/>
    <w:semiHidden/>
    <w:unhideWhenUsed/>
    <w:qFormat/>
    <w:rPr>
      <w:b/>
      <w:bCs/>
    </w:rPr>
  </w:style>
  <w:style w:type="paragraph" w:styleId="787" w:customStyle="1">
    <w:name w:val="Пункт"/>
    <w:basedOn w:val="688"/>
    <w:qFormat/>
    <w:pPr>
      <w:numPr>
        <w:ilvl w:val="2"/>
        <w:numId w:val="3"/>
      </w:numPr>
    </w:pPr>
  </w:style>
  <w:style w:type="paragraph" w:styleId="788" w:customStyle="1">
    <w:name w:val="Подпункт"/>
    <w:basedOn w:val="787"/>
    <w:qFormat/>
    <w:pPr>
      <w:ind w:left="1702"/>
      <w:tabs>
        <w:tab w:val="left" w:pos="1702" w:leader="none"/>
      </w:tabs>
    </w:pPr>
  </w:style>
  <w:style w:type="paragraph" w:styleId="789">
    <w:name w:val="Normal (Web)"/>
    <w:basedOn w:val="688"/>
    <w:uiPriority w:val="99"/>
    <w:unhideWhenUsed/>
    <w:qFormat/>
    <w:pPr>
      <w:ind w:firstLine="0"/>
      <w:jc w:val="left"/>
      <w:spacing w:beforeAutospacing="1" w:afterAutospacing="1" w:line="240" w:lineRule="auto"/>
    </w:pPr>
    <w:rPr>
      <w:sz w:val="24"/>
      <w:szCs w:val="24"/>
    </w:rPr>
  </w:style>
  <w:style w:type="paragraph" w:styleId="790" w:customStyle="1">
    <w:name w:val="docdata"/>
    <w:basedOn w:val="688"/>
    <w:qFormat/>
    <w:pPr>
      <w:ind w:firstLine="0"/>
      <w:jc w:val="left"/>
      <w:spacing w:beforeAutospacing="1" w:afterAutospacing="1" w:line="240" w:lineRule="auto"/>
    </w:pPr>
    <w:rPr>
      <w:sz w:val="24"/>
      <w:szCs w:val="24"/>
    </w:rPr>
  </w:style>
  <w:style w:type="paragraph" w:styleId="791" w:customStyle="1">
    <w:name w:val="[РусГидро] Пункт"/>
    <w:qFormat/>
    <w:pPr>
      <w:ind w:left="720"/>
      <w:jc w:val="both"/>
      <w:spacing w:before="120"/>
      <w:tabs>
        <w:tab w:val="left" w:pos="360" w:leader="none"/>
      </w:tabs>
      <w:outlineLvl w:val="2"/>
    </w:pPr>
    <w:rPr>
      <w:rFonts w:ascii="Times New Roman" w:hAnsi="Times New Roman" w:cs="Times New Roman"/>
      <w:sz w:val="26"/>
      <w:szCs w:val="26"/>
    </w:rPr>
  </w:style>
  <w:style w:type="table" w:styleId="792" w:customStyle="1">
    <w:name w:val="Table Grid Light"/>
    <w:basedOn w:val="69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3">
    <w:name w:val="Plain Table 1"/>
    <w:basedOn w:val="69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94">
    <w:name w:val="Plain Table 2"/>
    <w:basedOn w:val="69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95">
    <w:name w:val="Plain Table 3"/>
    <w:basedOn w:val="699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fffff" w:themeFill="text1" w:themeFillTint="00"/>
      </w:tcPr>
    </w:tblStylePr>
    <w:tblStylePr w:type="band1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96">
    <w:name w:val="Plain Table 4"/>
    <w:basedOn w:val="699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fffff" w:themeFill="text1" w:themeFillTint="00"/>
      </w:tcPr>
    </w:tblStylePr>
    <w:tblStylePr w:type="band1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97">
    <w:name w:val="Plain Table 5"/>
    <w:basedOn w:val="699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fffff" w:themeFill="text1" w:themeFillTint="00"/>
      </w:tcPr>
    </w:tblStylePr>
    <w:tblStylePr w:type="band1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8">
    <w:name w:val="Grid Table 1 Light"/>
    <w:basedOn w:val="69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9" w:customStyle="1">
    <w:name w:val="Grid Table 1 Light - Accent 1"/>
    <w:basedOn w:val="69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0" w:customStyle="1">
    <w:name w:val="Grid Table 1 Light - Accent 2"/>
    <w:basedOn w:val="69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1" w:customStyle="1">
    <w:name w:val="Grid Table 1 Light - Accent 3"/>
    <w:basedOn w:val="69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2" w:customStyle="1">
    <w:name w:val="Grid Table 1 Light - Accent 4"/>
    <w:basedOn w:val="69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3" w:customStyle="1">
    <w:name w:val="Grid Table 1 Light - Accent 5"/>
    <w:basedOn w:val="69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4" w:customStyle="1">
    <w:name w:val="Grid Table 1 Light - Accent 6"/>
    <w:basedOn w:val="69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5">
    <w:name w:val="Grid Table 2"/>
    <w:basedOn w:val="69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1"/>
    <w:basedOn w:val="69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sz w:val="22"/>
      </w:rPr>
      <w:tcPr>
        <w:shd w:val="clear" w:color="ddeaf6" w:fill="ddeaf6" w:themeFill="accent1" w:themeFillTint="34"/>
      </w:tc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2"/>
    <w:basedOn w:val="69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be5d6" w:fill="fbe5d6" w:themeFill="accent2" w:themeFillTint="32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3"/>
    <w:basedOn w:val="69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ececec" w:fill="ececec" w:themeFill="accent3" w:themeFillTint="34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4"/>
    <w:basedOn w:val="69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2cb" w:fill="fff2cb" w:themeFill="accent4" w:themeFillTint="34"/>
      </w:tcPr>
    </w:tblStylePr>
    <w:tblStylePr w:type="band1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5"/>
    <w:basedOn w:val="69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  <w:tcPr>
        <w:shd w:val="clear" w:color="d8e2f3" w:fill="d8e2f3" w:themeFill="accent5" w:themeFillTint="34"/>
      </w:tcPr>
    </w:tblStylePr>
    <w:tblStylePr w:type="band1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6"/>
    <w:basedOn w:val="69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e1efd8" w:fill="e1efd8" w:themeFill="accent6" w:themeFillTint="34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"/>
    <w:basedOn w:val="69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1"/>
    <w:basedOn w:val="69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sz w:val="22"/>
      </w:rPr>
      <w:tcPr>
        <w:shd w:val="clear" w:color="ddeaf6" w:fill="ddeaf6" w:themeFill="accent1" w:themeFillTint="34"/>
      </w:tc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2"/>
    <w:basedOn w:val="69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be5d6" w:fill="fbe5d6" w:themeFill="accent2" w:themeFillTint="32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3"/>
    <w:basedOn w:val="69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ececec" w:fill="ececec" w:themeFill="accent3" w:themeFillTint="34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4"/>
    <w:basedOn w:val="69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2cb" w:fill="fff2cb" w:themeFill="accent4" w:themeFillTint="34"/>
      </w:tcPr>
    </w:tblStylePr>
    <w:tblStylePr w:type="band1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5"/>
    <w:basedOn w:val="69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  <w:tcPr>
        <w:shd w:val="clear" w:color="d8e2f3" w:fill="d8e2f3" w:themeFill="accent5" w:themeFillTint="34"/>
      </w:tcPr>
    </w:tblStylePr>
    <w:tblStylePr w:type="band1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6"/>
    <w:basedOn w:val="69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e1efd8" w:fill="e1efd8" w:themeFill="accent6" w:themeFillTint="34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4"/>
    <w:basedOn w:val="69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20" w:customStyle="1">
    <w:name w:val="Grid Table 4 - Accent 1"/>
    <w:basedOn w:val="699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deebf6" w:fill="deebf6" w:themeFill="accent1" w:themeFillTint="32"/>
      </w:tcPr>
    </w:tblStylePr>
    <w:tblStylePr w:type="band1Vert">
      <w:rPr>
        <w:sz w:val="22"/>
      </w:rPr>
      <w:tcPr>
        <w:shd w:val="clear" w:color="deebf6" w:fill="deebf6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68a2d8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</w:style>
  <w:style w:type="table" w:styleId="821" w:customStyle="1">
    <w:name w:val="Grid Table 4 - Accent 2"/>
    <w:basedOn w:val="69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be5d6" w:fill="fbe5d6" w:themeFill="accent2" w:themeFillTint="32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4b184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822" w:customStyle="1">
    <w:name w:val="Grid Table 4 - Accent 3"/>
    <w:basedOn w:val="69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cecec" w:fill="ececec" w:themeFill="accent3" w:themeFillTint="34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823" w:customStyle="1">
    <w:name w:val="Grid Table 4 - Accent 4"/>
    <w:basedOn w:val="69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f2cb" w:fill="fff2cb" w:themeFill="accent4" w:themeFillTint="34"/>
      </w:tcPr>
    </w:tblStylePr>
    <w:tblStylePr w:type="band1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d865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824" w:customStyle="1">
    <w:name w:val="Grid Table 4 - Accent 5"/>
    <w:basedOn w:val="699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d8e2f3" w:fill="d8e2f3" w:themeFill="accent5" w:themeFillTint="34"/>
      </w:tcPr>
    </w:tblStylePr>
    <w:tblStylePr w:type="band1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472c4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825" w:customStyle="1">
    <w:name w:val="Grid Table 4 - Accent 6"/>
    <w:basedOn w:val="69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e1efd8" w:fill="e1efd8" w:themeFill="accent6" w:themeFillTint="34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826">
    <w:name w:val="Grid Table 5 Dark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- Accent 1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0eb" w:fill="b3d0eb" w:themeFill="accent1" w:themeFillTint="75"/>
      </w:tcPr>
    </w:tblStylePr>
    <w:tblStylePr w:type="band1Vert">
      <w:tcPr>
        <w:shd w:val="clear" w:color="b3d0eb" w:fill="b3d0eb" w:themeFill="accent1" w:themeFillTint="75"/>
      </w:tcPr>
    </w:tblStylePr>
    <w:tblStylePr w:type="firstCol">
      <w:rPr>
        <w:b/>
        <w:sz w:val="22"/>
      </w:rPr>
      <w:tcPr>
        <w:shd w:val="clear" w:color="5b9bd5" w:fill="5b9bd5" w:themeFill="accent1"/>
      </w:tcPr>
    </w:tblStylePr>
    <w:tblStylePr w:type="firstRow">
      <w:rPr>
        <w:b/>
        <w:sz w:val="22"/>
      </w:rPr>
      <w:tcPr>
        <w:shd w:val="clear" w:color="5b9bd5" w:fill="5b9bd5" w:themeFill="accent1"/>
      </w:tcPr>
    </w:tblStylePr>
    <w:tblStylePr w:type="lastCol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  <w:sz w:val="22"/>
      </w:rPr>
      <w:tcPr>
        <w:shd w:val="clear" w:color="5b9bd5" w:fill="5b9bd5" w:themeFill="accent1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2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sz w:val="22"/>
      </w:rPr>
      <w:tcPr>
        <w:shd w:val="clear" w:color="ed7d31" w:fill="ed7d31" w:themeFill="accent2"/>
      </w:tcPr>
    </w:tblStylePr>
    <w:tblStylePr w:type="firstRow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3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sz w:val="22"/>
      </w:rPr>
      <w:tcPr>
        <w:shd w:val="clear" w:color="a5a5a5" w:fill="a5a5a5" w:themeFill="accent3"/>
      </w:tcPr>
    </w:tblStylePr>
    <w:tblStylePr w:type="firstRow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- Accent 4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sz w:val="22"/>
      </w:rPr>
      <w:tcPr>
        <w:shd w:val="clear" w:color="ffc000" w:fill="ffc000" w:themeFill="accent4"/>
      </w:tcPr>
    </w:tblStylePr>
    <w:tblStylePr w:type="firstRow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5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4" w:fill="a9bee4" w:themeFill="accent5" w:themeFillTint="75"/>
      </w:tcPr>
    </w:tblStylePr>
    <w:tblStylePr w:type="band1Vert">
      <w:tcPr>
        <w:shd w:val="clear" w:color="a9bee4" w:fill="a9bee4" w:themeFill="accent5" w:themeFillTint="75"/>
      </w:tcPr>
    </w:tblStylePr>
    <w:tblStylePr w:type="firstCol">
      <w:rPr>
        <w:b/>
        <w:sz w:val="22"/>
      </w:rPr>
      <w:tcPr>
        <w:shd w:val="clear" w:color="4472c4" w:fill="4472c4" w:themeFill="accent5"/>
      </w:tcPr>
    </w:tblStylePr>
    <w:tblStylePr w:type="firstRow">
      <w:rPr>
        <w:b/>
        <w:sz w:val="22"/>
      </w:rPr>
      <w:tcPr>
        <w:shd w:val="clear" w:color="4472c4" w:fill="4472c4" w:themeFill="accent5"/>
      </w:tcPr>
    </w:tblStylePr>
    <w:tblStylePr w:type="lastCol">
      <w:rPr>
        <w:b/>
        <w:sz w:val="22"/>
      </w:rPr>
      <w:tcPr>
        <w:shd w:val="clear" w:color="4472c4" w:fill="4472c4" w:themeFill="accent5"/>
      </w:tcPr>
    </w:tblStylePr>
    <w:tblStylePr w:type="lastRow">
      <w:rPr>
        <w:b/>
        <w:sz w:val="22"/>
      </w:rPr>
      <w:tcPr>
        <w:shd w:val="clear" w:color="4472c4" w:fill="4472c4" w:themeFill="accent5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6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sz w:val="22"/>
      </w:rPr>
      <w:tcPr>
        <w:shd w:val="clear" w:color="70ad47" w:fill="70ad47" w:themeFill="accent6"/>
      </w:tcPr>
    </w:tblStylePr>
    <w:tblStylePr w:type="firstRow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833">
    <w:name w:val="Grid Table 6 Colorful"/>
    <w:basedOn w:val="69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4" w:customStyle="1">
    <w:name w:val="Grid Table 6 Colorful - Accent 1"/>
    <w:basedOn w:val="699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35" w:customStyle="1">
    <w:name w:val="Grid Table 6 Colorful - Accent 2"/>
    <w:basedOn w:val="69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6" w:customStyle="1">
    <w:name w:val="Grid Table 6 Colorful - Accent 3"/>
    <w:basedOn w:val="69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7" w:customStyle="1">
    <w:name w:val="Grid Table 6 Colorful - Accent 4"/>
    <w:basedOn w:val="69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8" w:customStyle="1">
    <w:name w:val="Grid Table 6 Colorful - Accent 5"/>
    <w:basedOn w:val="699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9" w:customStyle="1">
    <w:name w:val="Grid Table 6 Colorful - Accent 6"/>
    <w:basedOn w:val="69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0">
    <w:name w:val="Grid Table 7 Colorful"/>
    <w:basedOn w:val="69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1" w:customStyle="1">
    <w:name w:val="Grid Table 7 Colorful - Accent 1"/>
    <w:basedOn w:val="699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2" w:customStyle="1">
    <w:name w:val="Grid Table 7 Colorful - Accent 2"/>
    <w:basedOn w:val="69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ED7D31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ED7D31" w:themeColor="accent2" w:sz="4" w:space="0"/>
          <w:right w:val="none" w:color="000000" w:sz="0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ED7D31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Grid Table 7 Colorful - Accent 3"/>
    <w:basedOn w:val="69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sz="4" w:space="0"/>
          <w:right w:val="none" w:color="000000" w:sz="0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Grid Table 7 Colorful - Accent 4"/>
    <w:basedOn w:val="69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C000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FC000" w:themeColor="accent4" w:sz="4" w:space="0"/>
          <w:right w:val="none" w:color="000000" w:sz="0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C000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Grid Table 7 Colorful - Accent 5"/>
    <w:basedOn w:val="699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5" w:sz="4" w:space="0"/>
        </w:tcBorders>
      </w:tcPr>
    </w:tblStylePr>
    <w:tblStylePr w:type="fir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472C4" w:themeColor="accent5" w:sz="4" w:space="0"/>
          <w:right w:val="none" w:color="000000" w:sz="0" w:space="0"/>
        </w:tcBorders>
      </w:tcPr>
    </w:tblStylePr>
    <w:tblStylePr w:type="lastCol">
      <w:rPr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Grid Table 7 Colorful - Accent 6"/>
    <w:basedOn w:val="69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0AD47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70AD47" w:themeColor="accent6" w:sz="4" w:space="0"/>
          <w:right w:val="none" w:color="000000" w:sz="0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70AD47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>
    <w:name w:val="List Table 1 Light"/>
    <w:basedOn w:val="699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1"/>
    <w:basedOn w:val="699"/>
    <w:uiPriority w:val="99"/>
    <w:tblPr>
      <w:tblStyleRowBandSize w:val="1"/>
      <w:tblStyleColBandSize w:val="1"/>
    </w:tblPr>
    <w:tblStylePr w:type="band1Horz"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2"/>
    <w:basedOn w:val="699"/>
    <w:uiPriority w:val="99"/>
    <w:tblPr>
      <w:tblStyleRowBandSize w:val="1"/>
      <w:tblStyleColBandSize w:val="1"/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3"/>
    <w:basedOn w:val="699"/>
    <w:uiPriority w:val="99"/>
    <w:tblPr>
      <w:tblStyleRowBandSize w:val="1"/>
      <w:tblStyleColBandSize w:val="1"/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4"/>
    <w:basedOn w:val="699"/>
    <w:uiPriority w:val="99"/>
    <w:tblPr>
      <w:tblStyleRowBandSize w:val="1"/>
      <w:tblStyleColBandSize w:val="1"/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5"/>
    <w:basedOn w:val="699"/>
    <w:uiPriority w:val="99"/>
    <w:tblPr>
      <w:tblStyleRowBandSize w:val="1"/>
      <w:tblStyleColBandSize w:val="1"/>
    </w:tblPr>
    <w:tblStylePr w:type="band1Horz"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6"/>
    <w:basedOn w:val="699"/>
    <w:uiPriority w:val="99"/>
    <w:tblPr>
      <w:tblStyleRowBandSize w:val="1"/>
      <w:tblStyleColBandSize w:val="1"/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2"/>
    <w:basedOn w:val="69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55" w:customStyle="1">
    <w:name w:val="List Table 2 - Accent 1"/>
    <w:basedOn w:val="699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d5e5f4" w:fill="d5e5f4" w:themeFill="accent1" w:themeFillTint="40"/>
      </w:tc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56" w:customStyle="1">
    <w:name w:val="List Table 2 - Accent 2"/>
    <w:basedOn w:val="69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adecb" w:fill="fadecb" w:themeFill="accent2" w:themeFillTint="40"/>
      </w:tc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57" w:customStyle="1">
    <w:name w:val="List Table 2 - Accent 3"/>
    <w:basedOn w:val="69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8e8e8" w:fill="e8e8e8" w:themeFill="accent3" w:themeFillTint="40"/>
      </w:tc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58" w:customStyle="1">
    <w:name w:val="List Table 2 - Accent 4"/>
    <w:basedOn w:val="69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efbf" w:fill="ffefbf" w:themeFill="accent4" w:themeFillTint="40"/>
      </w:tcPr>
    </w:tblStylePr>
    <w:tblStylePr w:type="band1Vert">
      <w:rPr>
        <w:sz w:val="22"/>
      </w:rPr>
      <w:tcPr>
        <w:shd w:val="clear" w:color="ffefb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59" w:customStyle="1">
    <w:name w:val="List Table 2 - Accent 5"/>
    <w:basedOn w:val="699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cfdbf0" w:fill="cfdbf0" w:themeFill="accent5" w:themeFillTint="40"/>
      </w:tcPr>
    </w:tblStylePr>
    <w:tblStylePr w:type="band1Vert">
      <w:rPr>
        <w:sz w:val="22"/>
      </w:rPr>
      <w:tcPr>
        <w:shd w:val="clear" w:color="cfdbf0" w:fill="cfdb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60" w:customStyle="1">
    <w:name w:val="List Table 2 - Accent 6"/>
    <w:basedOn w:val="69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daebcf" w:fill="daebcf" w:themeFill="accent6" w:themeFillTint="40"/>
      </w:tc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61">
    <w:name w:val="List Table 3"/>
    <w:basedOn w:val="69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 w:customStyle="1">
    <w:name w:val="List Table 3 - Accent 1"/>
    <w:basedOn w:val="699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b9bd5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3 - Accent 2"/>
    <w:basedOn w:val="69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4b184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 w:customStyle="1">
    <w:name w:val="List Table 3 - Accent 3"/>
    <w:basedOn w:val="69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9c9c9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5" w:customStyle="1">
    <w:name w:val="List Table 3 - Accent 4"/>
    <w:basedOn w:val="69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d865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6" w:customStyle="1">
    <w:name w:val="List Table 3 - Accent 5"/>
    <w:basedOn w:val="699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da9db" w:fill="8da9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7" w:customStyle="1">
    <w:name w:val="List Table 3 - Accent 6"/>
    <w:basedOn w:val="69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9d08e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8">
    <w:name w:val="List Table 4"/>
    <w:basedOn w:val="69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9" w:customStyle="1">
    <w:name w:val="List Table 4 - Accent 1"/>
    <w:basedOn w:val="699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d5e5f4" w:fill="d5e5f4" w:themeFill="accent1" w:themeFillTint="40"/>
      </w:tc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b9bd5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0" w:customStyle="1">
    <w:name w:val="List Table 4 - Accent 2"/>
    <w:basedOn w:val="69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adecb" w:fill="fadecb" w:themeFill="accent2" w:themeFillTint="40"/>
      </w:tc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1" w:customStyle="1">
    <w:name w:val="List Table 4 - Accent 3"/>
    <w:basedOn w:val="69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8e8e8" w:fill="e8e8e8" w:themeFill="accent3" w:themeFillTint="40"/>
      </w:tc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2" w:customStyle="1">
    <w:name w:val="List Table 4 - Accent 4"/>
    <w:basedOn w:val="69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efbf" w:fill="ffefbf" w:themeFill="accent4" w:themeFillTint="40"/>
      </w:tcPr>
    </w:tblStylePr>
    <w:tblStylePr w:type="band1Vert">
      <w:rPr>
        <w:sz w:val="22"/>
      </w:rPr>
      <w:tcPr>
        <w:shd w:val="clear" w:color="ffefb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3" w:customStyle="1">
    <w:name w:val="List Table 4 - Accent 5"/>
    <w:basedOn w:val="699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cfdbf0" w:fill="cfdbf0" w:themeFill="accent5" w:themeFillTint="40"/>
      </w:tcPr>
    </w:tblStylePr>
    <w:tblStylePr w:type="band1Vert">
      <w:rPr>
        <w:sz w:val="22"/>
      </w:rPr>
      <w:tcPr>
        <w:shd w:val="clear" w:color="cfdbf0" w:fill="cfdb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472c4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4" w:customStyle="1">
    <w:name w:val="List Table 4 - Accent 6"/>
    <w:basedOn w:val="69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daebcf" w:fill="daebcf" w:themeFill="accent6" w:themeFillTint="40"/>
      </w:tc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5">
    <w:name w:val="List Table 5 Dark"/>
    <w:basedOn w:val="69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6" w:customStyle="1">
    <w:name w:val="List Table 5 Dark - Accent 1"/>
    <w:basedOn w:val="699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5b9bd5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7" w:customStyle="1">
    <w:name w:val="List Table 5 Dark - Accent 2"/>
    <w:basedOn w:val="69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8" w:customStyle="1">
    <w:name w:val="List Table 5 Dark - Accent 3"/>
    <w:basedOn w:val="69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9" w:customStyle="1">
    <w:name w:val="List Table 5 Dark - Accent 4"/>
    <w:basedOn w:val="69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0" w:customStyle="1">
    <w:name w:val="List Table 5 Dark - Accent 5"/>
    <w:basedOn w:val="699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band1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8da9db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1" w:customStyle="1">
    <w:name w:val="List Table 5 Dark - Accent 6"/>
    <w:basedOn w:val="69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2">
    <w:name w:val="List Table 6 Colorful"/>
    <w:basedOn w:val="69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83" w:customStyle="1">
    <w:name w:val="List Table 6 Colorful - Accent 1"/>
    <w:basedOn w:val="699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4" w:customStyle="1">
    <w:name w:val="List Table 6 Colorful - Accent 2"/>
    <w:basedOn w:val="69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85" w:customStyle="1">
    <w:name w:val="List Table 6 Colorful - Accent 3"/>
    <w:basedOn w:val="69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86" w:customStyle="1">
    <w:name w:val="List Table 6 Colorful - Accent 4"/>
    <w:basedOn w:val="69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87" w:customStyle="1">
    <w:name w:val="List Table 6 Colorful - Accent 5"/>
    <w:basedOn w:val="699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88" w:customStyle="1">
    <w:name w:val="List Table 6 Colorful - Accent 6"/>
    <w:basedOn w:val="69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89">
    <w:name w:val="List Table 7 Colorful"/>
    <w:basedOn w:val="69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List Table 7 Colorful - Accent 1"/>
    <w:basedOn w:val="699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1" w:customStyle="1">
    <w:name w:val="List Table 7 Colorful - Accent 2"/>
    <w:basedOn w:val="69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ED7D31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ED7D31" w:themeColor="accent2" w:sz="4" w:space="0"/>
          <w:right w:val="none" w:color="000000" w:sz="0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ED7D31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List Table 7 Colorful - Accent 3"/>
    <w:basedOn w:val="69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sz="4" w:space="0"/>
          <w:right w:val="none" w:color="000000" w:sz="0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 w:customStyle="1">
    <w:name w:val="List Table 7 Colorful - Accent 4"/>
    <w:basedOn w:val="69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C000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FC000" w:themeColor="accent4" w:sz="4" w:space="0"/>
          <w:right w:val="none" w:color="000000" w:sz="0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C000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4" w:customStyle="1">
    <w:name w:val="List Table 7 Colorful - Accent 5"/>
    <w:basedOn w:val="699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5" w:sz="4" w:space="0"/>
        </w:tcBorders>
      </w:tcPr>
    </w:tblStylePr>
    <w:tblStylePr w:type="fir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472C4" w:themeColor="accent5" w:sz="4" w:space="0"/>
          <w:right w:val="none" w:color="000000" w:sz="0" w:space="0"/>
        </w:tcBorders>
      </w:tcPr>
    </w:tblStylePr>
    <w:tblStylePr w:type="lastCol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5" w:customStyle="1">
    <w:name w:val="List Table 7 Colorful - Accent 6"/>
    <w:basedOn w:val="69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0AD47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70AD47" w:themeColor="accent6" w:sz="4" w:space="0"/>
          <w:right w:val="none" w:color="000000" w:sz="0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70AD47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6" w:customStyle="1">
    <w:name w:val="Lined - Accent"/>
    <w:basedOn w:val="699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fffff" w:themeFill="text1" w:themeFillTint="00"/>
      </w:tcPr>
    </w:tblStylePr>
    <w:tblStylePr w:type="band2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97" w:customStyle="1">
    <w:name w:val="Lined - Accent 1"/>
    <w:basedOn w:val="699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firstCol">
      <w:rPr>
        <w:sz w:val="22"/>
      </w:rPr>
      <w:tcPr>
        <w:shd w:val="clear" w:color="68a2d8" w:fill="68a2d8" w:themeFill="accent1" w:themeFillTint="EA"/>
      </w:tcPr>
    </w:tblStylePr>
    <w:tblStylePr w:type="firstRow">
      <w:rPr>
        <w:sz w:val="22"/>
      </w:rPr>
      <w:tcPr>
        <w:shd w:val="clear" w:color="68a2d8" w:fill="68a2d8" w:themeFill="accent1" w:themeFillTint="EA"/>
      </w:tcPr>
    </w:tblStylePr>
    <w:tblStylePr w:type="lastCol">
      <w:rPr>
        <w:sz w:val="22"/>
      </w:rPr>
      <w:tcPr>
        <w:shd w:val="clear" w:color="68a2d8" w:fill="68a2d8" w:themeFill="accent1" w:themeFillTint="EA"/>
      </w:tcPr>
    </w:tblStylePr>
    <w:tblStylePr w:type="lastRow">
      <w:rPr>
        <w:sz w:val="22"/>
      </w:rPr>
      <w:tcPr>
        <w:shd w:val="clear" w:color="68a2d8" w:fill="68a2d8" w:themeFill="accent1" w:themeFillTint="EA"/>
      </w:tcPr>
    </w:tblStylePr>
  </w:style>
  <w:style w:type="table" w:styleId="898" w:customStyle="1">
    <w:name w:val="Lined - Accent 2"/>
    <w:basedOn w:val="699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sz w:val="22"/>
      </w:rPr>
      <w:tcPr>
        <w:shd w:val="clear" w:color="f4b184" w:fill="f4b184" w:themeFill="accent2" w:themeFillTint="97"/>
      </w:tcPr>
    </w:tblStylePr>
    <w:tblStylePr w:type="firstRow">
      <w:rPr>
        <w:sz w:val="22"/>
      </w:rPr>
      <w:tcPr>
        <w:shd w:val="clear" w:color="f4b184" w:fill="f4b184" w:themeFill="accent2" w:themeFillTint="97"/>
      </w:tcPr>
    </w:tblStylePr>
    <w:tblStylePr w:type="lastCol">
      <w:rPr>
        <w:sz w:val="22"/>
      </w:rPr>
      <w:tcPr>
        <w:shd w:val="clear" w:color="f4b184" w:fill="f4b184" w:themeFill="accent2" w:themeFillTint="97"/>
      </w:tcPr>
    </w:tblStylePr>
    <w:tblStylePr w:type="lastRow">
      <w:rPr>
        <w:sz w:val="22"/>
      </w:rPr>
      <w:tcPr>
        <w:shd w:val="clear" w:color="f4b184" w:fill="f4b184" w:themeFill="accent2" w:themeFillTint="97"/>
      </w:tcPr>
    </w:tblStylePr>
  </w:style>
  <w:style w:type="table" w:styleId="899" w:customStyle="1">
    <w:name w:val="Lined - Accent 3"/>
    <w:basedOn w:val="699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</w:style>
  <w:style w:type="table" w:styleId="900" w:customStyle="1">
    <w:name w:val="Lined - Accent 4"/>
    <w:basedOn w:val="699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2cb" w:fill="fff2cb" w:themeFill="accent4" w:themeFillTint="34"/>
      </w:tcPr>
    </w:tblStylePr>
    <w:tblStylePr w:type="band2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sz w:val="22"/>
      </w:rPr>
      <w:tcPr>
        <w:shd w:val="clear" w:color="ffd865" w:fill="ffd865" w:themeFill="accent4" w:themeFillTint="9A"/>
      </w:tcPr>
    </w:tblStylePr>
    <w:tblStylePr w:type="firstRow">
      <w:rPr>
        <w:sz w:val="22"/>
      </w:rPr>
      <w:tcPr>
        <w:shd w:val="clear" w:color="ffd865" w:fill="ffd865" w:themeFill="accent4" w:themeFillTint="9A"/>
      </w:tcPr>
    </w:tblStylePr>
    <w:tblStylePr w:type="lastCol">
      <w:rPr>
        <w:sz w:val="22"/>
      </w:rPr>
      <w:tcPr>
        <w:shd w:val="clear" w:color="ffd865" w:fill="ffd865" w:themeFill="accent4" w:themeFillTint="9A"/>
      </w:tcPr>
    </w:tblStylePr>
    <w:tblStylePr w:type="lastRow">
      <w:rPr>
        <w:sz w:val="22"/>
      </w:rPr>
      <w:tcPr>
        <w:shd w:val="clear" w:color="ffd865" w:fill="ffd865" w:themeFill="accent4" w:themeFillTint="9A"/>
      </w:tcPr>
    </w:tblStylePr>
  </w:style>
  <w:style w:type="table" w:styleId="901" w:customStyle="1">
    <w:name w:val="Lined - Accent 5"/>
    <w:basedOn w:val="699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8e2f3" w:fill="d8e2f3" w:themeFill="accent5" w:themeFillTint="34"/>
      </w:tcPr>
    </w:tblStylePr>
    <w:tblStylePr w:type="band2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firstRow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</w:style>
  <w:style w:type="table" w:styleId="902" w:customStyle="1">
    <w:name w:val="Lined - Accent 6"/>
    <w:basedOn w:val="699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firstRow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</w:style>
  <w:style w:type="table" w:styleId="903" w:customStyle="1">
    <w:name w:val="Bordered &amp; Lined - Accent"/>
    <w:basedOn w:val="699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fffff" w:themeFill="text1" w:themeFillTint="00"/>
      </w:tcPr>
    </w:tblStylePr>
    <w:tblStylePr w:type="band2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904" w:customStyle="1">
    <w:name w:val="Bordered &amp; Lined - Accent 1"/>
    <w:basedOn w:val="699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firstCol">
      <w:rPr>
        <w:sz w:val="22"/>
      </w:rPr>
      <w:tcPr>
        <w:shd w:val="clear" w:color="68a2d8" w:fill="68a2d8" w:themeFill="accent1" w:themeFillTint="EA"/>
      </w:tcPr>
    </w:tblStylePr>
    <w:tblStylePr w:type="firstRow">
      <w:rPr>
        <w:sz w:val="22"/>
      </w:rPr>
      <w:tcPr>
        <w:shd w:val="clear" w:color="68a2d8" w:fill="68a2d8" w:themeFill="accent1" w:themeFillTint="EA"/>
      </w:tcPr>
    </w:tblStylePr>
    <w:tblStylePr w:type="lastCol">
      <w:rPr>
        <w:sz w:val="22"/>
      </w:rPr>
      <w:tcPr>
        <w:shd w:val="clear" w:color="68a2d8" w:fill="68a2d8" w:themeFill="accent1" w:themeFillTint="EA"/>
      </w:tcPr>
    </w:tblStylePr>
    <w:tblStylePr w:type="lastRow">
      <w:rPr>
        <w:sz w:val="22"/>
      </w:rPr>
      <w:tcPr>
        <w:shd w:val="clear" w:color="68a2d8" w:fill="68a2d8" w:themeFill="accent1" w:themeFillTint="EA"/>
      </w:tcPr>
    </w:tblStylePr>
  </w:style>
  <w:style w:type="table" w:styleId="905" w:customStyle="1">
    <w:name w:val="Bordered &amp; Lined - Accent 2"/>
    <w:basedOn w:val="699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sz w:val="22"/>
      </w:rPr>
      <w:tcPr>
        <w:shd w:val="clear" w:color="f4b184" w:fill="f4b184" w:themeFill="accent2" w:themeFillTint="97"/>
      </w:tcPr>
    </w:tblStylePr>
    <w:tblStylePr w:type="firstRow">
      <w:rPr>
        <w:sz w:val="22"/>
      </w:rPr>
      <w:tcPr>
        <w:shd w:val="clear" w:color="f4b184" w:fill="f4b184" w:themeFill="accent2" w:themeFillTint="97"/>
      </w:tcPr>
    </w:tblStylePr>
    <w:tblStylePr w:type="lastCol">
      <w:rPr>
        <w:sz w:val="22"/>
      </w:rPr>
      <w:tcPr>
        <w:shd w:val="clear" w:color="f4b184" w:fill="f4b184" w:themeFill="accent2" w:themeFillTint="97"/>
      </w:tcPr>
    </w:tblStylePr>
    <w:tblStylePr w:type="lastRow">
      <w:rPr>
        <w:sz w:val="22"/>
      </w:rPr>
      <w:tcPr>
        <w:shd w:val="clear" w:color="f4b184" w:fill="f4b184" w:themeFill="accent2" w:themeFillTint="97"/>
      </w:tcPr>
    </w:tblStylePr>
  </w:style>
  <w:style w:type="table" w:styleId="906" w:customStyle="1">
    <w:name w:val="Bordered &amp; Lined - Accent 3"/>
    <w:basedOn w:val="699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</w:style>
  <w:style w:type="table" w:styleId="907" w:customStyle="1">
    <w:name w:val="Bordered &amp; Lined - Accent 4"/>
    <w:basedOn w:val="699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2cb" w:fill="fff2cb" w:themeFill="accent4" w:themeFillTint="34"/>
      </w:tcPr>
    </w:tblStylePr>
    <w:tblStylePr w:type="band2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sz w:val="22"/>
      </w:rPr>
      <w:tcPr>
        <w:shd w:val="clear" w:color="ffd865" w:fill="ffd865" w:themeFill="accent4" w:themeFillTint="9A"/>
      </w:tcPr>
    </w:tblStylePr>
    <w:tblStylePr w:type="firstRow">
      <w:rPr>
        <w:sz w:val="22"/>
      </w:rPr>
      <w:tcPr>
        <w:shd w:val="clear" w:color="ffd865" w:fill="ffd865" w:themeFill="accent4" w:themeFillTint="9A"/>
      </w:tcPr>
    </w:tblStylePr>
    <w:tblStylePr w:type="lastCol">
      <w:rPr>
        <w:sz w:val="22"/>
      </w:rPr>
      <w:tcPr>
        <w:shd w:val="clear" w:color="ffd865" w:fill="ffd865" w:themeFill="accent4" w:themeFillTint="9A"/>
      </w:tcPr>
    </w:tblStylePr>
    <w:tblStylePr w:type="lastRow">
      <w:rPr>
        <w:sz w:val="22"/>
      </w:rPr>
      <w:tcPr>
        <w:shd w:val="clear" w:color="ffd865" w:fill="ffd865" w:themeFill="accent4" w:themeFillTint="9A"/>
      </w:tcPr>
    </w:tblStylePr>
  </w:style>
  <w:style w:type="table" w:styleId="908" w:customStyle="1">
    <w:name w:val="Bordered &amp; Lined - Accent 5"/>
    <w:basedOn w:val="699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8e2f3" w:fill="d8e2f3" w:themeFill="accent5" w:themeFillTint="34"/>
      </w:tcPr>
    </w:tblStylePr>
    <w:tblStylePr w:type="band2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firstRow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</w:style>
  <w:style w:type="table" w:styleId="909" w:customStyle="1">
    <w:name w:val="Bordered &amp; Lined - Accent 6"/>
    <w:basedOn w:val="699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firstRow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</w:style>
  <w:style w:type="table" w:styleId="910" w:customStyle="1">
    <w:name w:val="Bordered"/>
    <w:basedOn w:val="69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11" w:customStyle="1">
    <w:name w:val="Bordered - Accent 1"/>
    <w:basedOn w:val="69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2" w:customStyle="1">
    <w:name w:val="Bordered - Accent 2"/>
    <w:basedOn w:val="69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913" w:customStyle="1">
    <w:name w:val="Bordered - Accent 3"/>
    <w:basedOn w:val="69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914" w:customStyle="1">
    <w:name w:val="Bordered - Accent 4"/>
    <w:basedOn w:val="69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915" w:customStyle="1">
    <w:name w:val="Bordered - Accent 5"/>
    <w:basedOn w:val="69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916" w:customStyle="1">
    <w:name w:val="Bordered - Accent 6"/>
    <w:basedOn w:val="69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  <w:style w:type="table" w:styleId="917">
    <w:name w:val="Table Grid"/>
    <w:basedOn w:val="699"/>
    <w:uiPriority w:val="59"/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bo.nalog.ru/" TargetMode="External"/><Relationship Id="rId10" Type="http://schemas.openxmlformats.org/officeDocument/2006/relationships/comments" Target="comments.xml" /><Relationship Id="rId11" Type="http://schemas.microsoft.com/office/2011/relationships/commentsExtended" Target="commentsExtended.xml" /><Relationship Id="rId12" Type="http://schemas.microsoft.com/office/2018/08/relationships/commentsExtensible" Target="commentsExtensible.xml" /><Relationship Id="rId13" Type="http://schemas.microsoft.com/office/2016/09/relationships/commentsIds" Target="commentsIds.xml" /><Relationship Id="rId14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DVGK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Зильберварг Артем Викторович</dc:creator>
  <dc:description/>
  <dc:language>ru-RU</dc:language>
  <cp:revision>5</cp:revision>
  <dcterms:created xsi:type="dcterms:W3CDTF">2025-09-15T06:41:00Z</dcterms:created>
  <dcterms:modified xsi:type="dcterms:W3CDTF">2025-09-25T03:31:59Z</dcterms:modified>
</cp:coreProperties>
</file>